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FB616E" w:rsidRDefault="001739CB" w:rsidP="00B1118A">
      <w:pPr>
        <w:jc w:val="center"/>
        <w:rPr>
          <w:rFonts w:ascii="Arial" w:hAnsi="Arial" w:cs="Arial"/>
          <w:b/>
          <w:iCs/>
          <w:sz w:val="28"/>
          <w:szCs w:val="28"/>
        </w:rPr>
      </w:pPr>
      <w:r w:rsidRPr="00FB616E">
        <w:rPr>
          <w:rFonts w:ascii="Arial" w:hAnsi="Arial" w:cs="Arial"/>
          <w:b/>
          <w:iCs/>
          <w:sz w:val="28"/>
          <w:szCs w:val="28"/>
        </w:rPr>
        <w:t>Nº</w:t>
      </w:r>
      <w:proofErr w:type="gramStart"/>
      <w:r w:rsidRPr="00FB616E">
        <w:rPr>
          <w:rFonts w:ascii="Arial" w:hAnsi="Arial" w:cs="Arial"/>
          <w:b/>
          <w:iCs/>
          <w:sz w:val="28"/>
          <w:szCs w:val="28"/>
        </w:rPr>
        <w:t xml:space="preserve"> </w:t>
      </w:r>
      <w:r w:rsidR="009A167C" w:rsidRPr="00FB616E">
        <w:rPr>
          <w:rFonts w:ascii="Arial" w:hAnsi="Arial" w:cs="Arial"/>
          <w:b/>
          <w:iCs/>
          <w:sz w:val="28"/>
          <w:szCs w:val="28"/>
        </w:rPr>
        <w:t xml:space="preserve"> </w:t>
      </w:r>
      <w:proofErr w:type="gramEnd"/>
      <w:r w:rsidR="00FB616E">
        <w:rPr>
          <w:rFonts w:ascii="Arial" w:hAnsi="Arial" w:cs="Arial"/>
          <w:b/>
          <w:iCs/>
          <w:sz w:val="28"/>
          <w:szCs w:val="28"/>
        </w:rPr>
        <w:t xml:space="preserve">07 </w:t>
      </w:r>
      <w:r w:rsidR="005D513B" w:rsidRPr="00FB616E">
        <w:rPr>
          <w:rFonts w:ascii="Arial" w:hAnsi="Arial" w:cs="Arial"/>
          <w:b/>
          <w:iCs/>
          <w:sz w:val="28"/>
          <w:szCs w:val="28"/>
        </w:rPr>
        <w:t>/</w:t>
      </w:r>
      <w:r w:rsidRPr="00FB616E">
        <w:rPr>
          <w:rFonts w:ascii="Arial" w:hAnsi="Arial" w:cs="Arial"/>
          <w:b/>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  CARAPICUÍBA</w:t>
      </w:r>
      <w:r w:rsidR="00E83FB3">
        <w:rPr>
          <w:rFonts w:ascii="Arial" w:hAnsi="Arial" w:cs="Arial"/>
          <w:b/>
          <w:bCs/>
          <w:sz w:val="32"/>
          <w:szCs w:val="32"/>
        </w:rPr>
        <w:t>.</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022906">
        <w:rPr>
          <w:rFonts w:ascii="Arial" w:hAnsi="Arial" w:cs="Arial"/>
          <w:b/>
          <w:bCs/>
          <w:sz w:val="32"/>
          <w:szCs w:val="32"/>
        </w:rPr>
        <w:t xml:space="preserve">CANALIZAÇÃO DO CÓRREGO </w:t>
      </w:r>
      <w:r w:rsidR="0085693A">
        <w:rPr>
          <w:rFonts w:ascii="Arial" w:hAnsi="Arial" w:cs="Arial"/>
          <w:b/>
          <w:bCs/>
          <w:sz w:val="32"/>
          <w:szCs w:val="32"/>
        </w:rPr>
        <w:t xml:space="preserve">DA RUA </w:t>
      </w:r>
      <w:r w:rsidR="00022906">
        <w:rPr>
          <w:rFonts w:ascii="Arial" w:hAnsi="Arial" w:cs="Arial"/>
          <w:b/>
          <w:bCs/>
          <w:sz w:val="32"/>
          <w:szCs w:val="32"/>
        </w:rPr>
        <w:t>ALVORADA</w:t>
      </w:r>
      <w:r w:rsidR="00560053">
        <w:rPr>
          <w:rFonts w:ascii="Arial" w:hAnsi="Arial" w:cs="Arial"/>
          <w:b/>
          <w:bCs/>
          <w:sz w:val="32"/>
          <w:szCs w:val="32"/>
        </w:rPr>
        <w:t xml:space="preserve"> </w:t>
      </w:r>
      <w:r w:rsidR="00B24DB3">
        <w:rPr>
          <w:rFonts w:ascii="Arial" w:hAnsi="Arial" w:cs="Arial"/>
          <w:b/>
          <w:bCs/>
          <w:sz w:val="32"/>
          <w:szCs w:val="32"/>
        </w:rPr>
        <w:t>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A23C17">
        <w:rPr>
          <w:rFonts w:ascii="Arial" w:hAnsi="Arial" w:cs="Arial"/>
          <w:b/>
          <w:bCs/>
          <w:sz w:val="28"/>
          <w:szCs w:val="28"/>
        </w:rPr>
        <w:t>4</w:t>
      </w:r>
      <w:r w:rsidR="005E3526">
        <w:rPr>
          <w:rFonts w:ascii="Arial" w:hAnsi="Arial" w:cs="Arial"/>
          <w:b/>
          <w:bCs/>
          <w:sz w:val="28"/>
          <w:szCs w:val="28"/>
        </w:rPr>
        <w:t>.</w:t>
      </w:r>
      <w:r w:rsidR="00A23C17">
        <w:rPr>
          <w:rFonts w:ascii="Arial" w:hAnsi="Arial" w:cs="Arial"/>
          <w:b/>
          <w:bCs/>
          <w:sz w:val="28"/>
          <w:szCs w:val="28"/>
        </w:rPr>
        <w:t>821</w:t>
      </w:r>
      <w:r w:rsidR="005E3526">
        <w:rPr>
          <w:rFonts w:ascii="Arial" w:hAnsi="Arial" w:cs="Arial"/>
          <w:b/>
          <w:bCs/>
          <w:sz w:val="28"/>
          <w:szCs w:val="28"/>
        </w:rPr>
        <w:t>.</w:t>
      </w:r>
      <w:r w:rsidR="00A23C17">
        <w:rPr>
          <w:rFonts w:ascii="Arial" w:hAnsi="Arial" w:cs="Arial"/>
          <w:b/>
          <w:bCs/>
          <w:sz w:val="28"/>
          <w:szCs w:val="28"/>
        </w:rPr>
        <w:t>625</w:t>
      </w:r>
      <w:r w:rsidR="005E3526">
        <w:rPr>
          <w:rFonts w:ascii="Arial" w:hAnsi="Arial" w:cs="Arial"/>
          <w:b/>
          <w:bCs/>
          <w:sz w:val="28"/>
          <w:szCs w:val="28"/>
        </w:rPr>
        <w:t>,</w:t>
      </w:r>
      <w:r w:rsidR="00A23C17">
        <w:rPr>
          <w:rFonts w:ascii="Arial" w:hAnsi="Arial" w:cs="Arial"/>
          <w:b/>
          <w:bCs/>
          <w:sz w:val="28"/>
          <w:szCs w:val="28"/>
        </w:rPr>
        <w:t>38</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FC2A24">
        <w:rPr>
          <w:rFonts w:ascii="Arial" w:hAnsi="Arial" w:cs="Arial"/>
          <w:b/>
          <w:bCs/>
          <w:sz w:val="28"/>
          <w:szCs w:val="28"/>
        </w:rPr>
        <w:t xml:space="preserve"> </w:t>
      </w:r>
      <w:proofErr w:type="gramEnd"/>
      <w:r w:rsidR="006C3C3E">
        <w:rPr>
          <w:rFonts w:ascii="Arial" w:hAnsi="Arial" w:cs="Arial"/>
          <w:b/>
          <w:bCs/>
          <w:sz w:val="28"/>
          <w:szCs w:val="28"/>
        </w:rPr>
        <w:t>12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6C3C3E">
        <w:rPr>
          <w:rFonts w:ascii="Arial" w:hAnsi="Arial" w:cs="Arial"/>
          <w:b/>
          <w:bCs/>
          <w:sz w:val="28"/>
          <w:szCs w:val="28"/>
        </w:rPr>
        <w:t>12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 xml:space="preserve">2024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6C3C3E">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sidRPr="00EC1DF4">
        <w:rPr>
          <w:rFonts w:ascii="Arial" w:hAnsi="Arial" w:cs="Arial"/>
          <w:b/>
          <w:bCs/>
          <w:sz w:val="32"/>
          <w:szCs w:val="32"/>
        </w:rPr>
        <w:t>NÃO</w:t>
      </w:r>
      <w:r w:rsidRPr="00EC1DF4">
        <w:rPr>
          <w:rFonts w:ascii="Arial" w:hAnsi="Arial" w:cs="Arial"/>
          <w:b/>
          <w:bCs/>
          <w:sz w:val="32"/>
          <w:szCs w:val="32"/>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7727D9">
        <w:rPr>
          <w:rFonts w:ascii="Arial" w:hAnsi="Arial" w:cs="Arial"/>
        </w:rPr>
        <w:t xml:space="preserve">07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D05ADD">
        <w:rPr>
          <w:rFonts w:ascii="Arial" w:hAnsi="Arial" w:cs="Arial"/>
          <w:bCs/>
        </w:rPr>
        <w:t xml:space="preserve">canalização do córrego </w:t>
      </w:r>
      <w:r w:rsidR="00684785">
        <w:rPr>
          <w:rFonts w:ascii="Arial" w:hAnsi="Arial" w:cs="Arial"/>
          <w:bCs/>
        </w:rPr>
        <w:t xml:space="preserve">da Rua </w:t>
      </w:r>
      <w:r w:rsidR="00D05ADD">
        <w:rPr>
          <w:rFonts w:ascii="Arial" w:hAnsi="Arial" w:cs="Arial"/>
          <w:bCs/>
        </w:rPr>
        <w:t>Alvorada</w:t>
      </w:r>
      <w:r w:rsidR="009020C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57138F">
        <w:rPr>
          <w:rFonts w:ascii="Arial" w:hAnsi="Arial" w:cs="Arial"/>
        </w:rPr>
        <w:t xml:space="preserve"> </w:t>
      </w:r>
      <w:proofErr w:type="gramEnd"/>
      <w:r w:rsidR="005C6644">
        <w:rPr>
          <w:rFonts w:ascii="Arial" w:hAnsi="Arial" w:cs="Arial"/>
        </w:rPr>
        <w:t>12</w:t>
      </w:r>
      <w:r w:rsidR="005C34D7">
        <w:rPr>
          <w:rFonts w:ascii="Arial" w:hAnsi="Arial" w:cs="Arial"/>
        </w:rPr>
        <w:t xml:space="preserve"> / </w:t>
      </w:r>
      <w:r w:rsidR="005C6644">
        <w:rPr>
          <w:rFonts w:ascii="Arial" w:hAnsi="Arial" w:cs="Arial"/>
        </w:rPr>
        <w:t>12</w:t>
      </w:r>
      <w:r w:rsidR="005C34D7">
        <w:rPr>
          <w:rFonts w:ascii="Arial" w:hAnsi="Arial" w:cs="Arial"/>
        </w:rPr>
        <w:t xml:space="preserve"> / </w:t>
      </w:r>
      <w:r w:rsidRPr="0023216F">
        <w:rPr>
          <w:rFonts w:ascii="Arial" w:hAnsi="Arial" w:cs="Arial"/>
        </w:rPr>
        <w:t>202</w:t>
      </w:r>
      <w:r w:rsidR="00C440EA">
        <w:rPr>
          <w:rFonts w:ascii="Arial" w:hAnsi="Arial" w:cs="Arial"/>
        </w:rPr>
        <w:t>4</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5C6644">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hyperlink r:id="rId10" w:history="1">
        <w:r w:rsidR="007F0460" w:rsidRPr="001D7974">
          <w:rPr>
            <w:rStyle w:val="Hyperlink"/>
            <w:rFonts w:ascii="Arial" w:hAnsi="Arial" w:cs="Arial"/>
          </w:rPr>
          <w:t>www.compras.gov.br</w:t>
        </w:r>
      </w:hyperlink>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bookmarkStart w:id="0" w:name="_GoBack"/>
      <w:proofErr w:type="gramEnd"/>
      <w:r w:rsidR="009B2E66" w:rsidRPr="009B2E66">
        <w:rPr>
          <w:rFonts w:ascii="Arial" w:hAnsi="Arial" w:cs="Arial"/>
          <w:color w:val="111214"/>
          <w:shd w:val="clear" w:color="auto" w:fill="FEFEFE"/>
        </w:rPr>
        <w:t>1060366</w:t>
      </w:r>
      <w:bookmarkEnd w:id="0"/>
      <w:proofErr w:type="gramStart"/>
    </w:p>
    <w:p w:rsidR="007F0460" w:rsidRDefault="007F0460" w:rsidP="008A2FC6">
      <w:pPr>
        <w:ind w:right="-568"/>
        <w:jc w:val="both"/>
        <w:rPr>
          <w:rFonts w:ascii="Arial" w:hAnsi="Arial" w:cs="Arial"/>
        </w:rPr>
      </w:pPr>
      <w:proofErr w:type="gramEnd"/>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1932DC">
        <w:rPr>
          <w:rFonts w:ascii="Arial" w:hAnsi="Arial" w:cs="Arial"/>
          <w:bCs/>
        </w:rPr>
        <w:t xml:space="preserve">canalização do córrego </w:t>
      </w:r>
      <w:r w:rsidR="0021661B">
        <w:rPr>
          <w:rFonts w:ascii="Arial" w:hAnsi="Arial" w:cs="Arial"/>
          <w:bCs/>
        </w:rPr>
        <w:t xml:space="preserve">da Rua </w:t>
      </w:r>
      <w:r w:rsidR="001932DC">
        <w:rPr>
          <w:rFonts w:ascii="Arial" w:hAnsi="Arial" w:cs="Arial"/>
          <w:bCs/>
        </w:rPr>
        <w:t>Alvorada</w:t>
      </w:r>
      <w:r w:rsidR="003649D3">
        <w:rPr>
          <w:rFonts w:ascii="Arial" w:hAnsi="Arial" w:cs="Arial"/>
          <w:bCs/>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 xml:space="preserve">de </w:t>
      </w:r>
      <w:r w:rsidR="006719B9">
        <w:rPr>
          <w:rFonts w:ascii="Arial" w:hAnsi="Arial" w:cs="Arial"/>
        </w:rPr>
        <w:t>12</w:t>
      </w:r>
      <w:r w:rsidR="00200D11">
        <w:rPr>
          <w:rFonts w:ascii="Arial" w:hAnsi="Arial" w:cs="Arial"/>
        </w:rPr>
        <w:t xml:space="preserve"> </w:t>
      </w:r>
      <w:r w:rsidRPr="0023216F">
        <w:rPr>
          <w:rFonts w:ascii="Arial" w:hAnsi="Arial" w:cs="Arial"/>
        </w:rPr>
        <w:t>(</w:t>
      </w:r>
      <w:r w:rsidR="006719B9">
        <w:rPr>
          <w:rFonts w:ascii="Arial" w:hAnsi="Arial" w:cs="Arial"/>
        </w:rPr>
        <w:t>doze</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w:t>
      </w:r>
      <w:r w:rsidR="00A73078">
        <w:rPr>
          <w:rFonts w:ascii="Arial" w:hAnsi="Arial" w:cs="Arial"/>
        </w:rPr>
        <w:t>á</w:t>
      </w:r>
      <w:r w:rsidRPr="0023216F">
        <w:rPr>
          <w:rFonts w:ascii="Arial" w:hAnsi="Arial" w:cs="Arial"/>
        </w:rPr>
        <w:t xml:space="preserve"> a dotaç</w:t>
      </w:r>
      <w:r w:rsidR="000723B0">
        <w:rPr>
          <w:rFonts w:ascii="Arial" w:hAnsi="Arial" w:cs="Arial"/>
        </w:rPr>
        <w:t>ão</w:t>
      </w:r>
      <w:r w:rsidRPr="0023216F">
        <w:rPr>
          <w:rFonts w:ascii="Arial" w:hAnsi="Arial" w:cs="Arial"/>
        </w:rPr>
        <w:t xml:space="preserve"> orçamentária nº </w:t>
      </w:r>
      <w:r w:rsidR="000723B0">
        <w:rPr>
          <w:rFonts w:ascii="Arial" w:hAnsi="Arial" w:cs="Arial"/>
        </w:rPr>
        <w:t>21.01.15.451.0006</w:t>
      </w:r>
      <w:r w:rsidR="0015048E">
        <w:rPr>
          <w:rFonts w:ascii="Arial" w:hAnsi="Arial" w:cs="Arial"/>
        </w:rPr>
        <w:t>.4.4.90.51-99</w:t>
      </w:r>
      <w:r w:rsidR="009D651C">
        <w:rPr>
          <w:rFonts w:ascii="Arial" w:hAnsi="Arial" w:cs="Arial"/>
        </w:rPr>
        <w:t xml:space="preserve"> </w:t>
      </w:r>
      <w:r w:rsidR="00D807C9">
        <w:rPr>
          <w:rFonts w:ascii="Arial" w:hAnsi="Arial" w:cs="Arial"/>
        </w:rPr>
        <w:t>(</w:t>
      </w:r>
      <w:r w:rsidR="00574965">
        <w:rPr>
          <w:rFonts w:ascii="Arial" w:hAnsi="Arial" w:cs="Arial"/>
        </w:rPr>
        <w:t>tesouro)</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8C0381" w:rsidRPr="008C0381">
        <w:rPr>
          <w:rFonts w:ascii="Arial" w:hAnsi="Arial" w:cs="Arial"/>
          <w:bCs/>
        </w:rPr>
        <w:t>4.821.625,38</w:t>
      </w:r>
      <w:r w:rsidR="008C0381" w:rsidRPr="0023216F">
        <w:rPr>
          <w:rFonts w:ascii="Arial" w:hAnsi="Arial" w:cs="Arial"/>
        </w:rPr>
        <w:t xml:space="preserve"> </w:t>
      </w:r>
      <w:r w:rsidR="00CD479E" w:rsidRPr="0023216F">
        <w:rPr>
          <w:rFonts w:ascii="Arial" w:hAnsi="Arial" w:cs="Arial"/>
        </w:rPr>
        <w:t>(</w:t>
      </w:r>
      <w:r w:rsidR="00367D5B">
        <w:rPr>
          <w:rFonts w:ascii="Arial" w:hAnsi="Arial" w:cs="Arial"/>
        </w:rPr>
        <w:t>quatro</w:t>
      </w:r>
      <w:r w:rsidR="00CD479E">
        <w:rPr>
          <w:rFonts w:ascii="Arial" w:hAnsi="Arial" w:cs="Arial"/>
        </w:rPr>
        <w:t xml:space="preserve"> milhões, </w:t>
      </w:r>
      <w:r w:rsidR="00367D5B">
        <w:rPr>
          <w:rFonts w:ascii="Arial" w:hAnsi="Arial" w:cs="Arial"/>
        </w:rPr>
        <w:t>oitocentos e vinte e um</w:t>
      </w:r>
      <w:r w:rsidR="0042439F">
        <w:rPr>
          <w:rFonts w:ascii="Arial" w:hAnsi="Arial" w:cs="Arial"/>
        </w:rPr>
        <w:t xml:space="preserve"> </w:t>
      </w:r>
      <w:r w:rsidR="00CD479E">
        <w:rPr>
          <w:rFonts w:ascii="Arial" w:hAnsi="Arial" w:cs="Arial"/>
        </w:rPr>
        <w:t xml:space="preserve">mil, </w:t>
      </w:r>
      <w:r w:rsidR="00367D5B">
        <w:rPr>
          <w:rFonts w:ascii="Arial" w:hAnsi="Arial" w:cs="Arial"/>
        </w:rPr>
        <w:t>seis</w:t>
      </w:r>
      <w:r w:rsidR="00CD479E">
        <w:rPr>
          <w:rFonts w:ascii="Arial" w:hAnsi="Arial" w:cs="Arial"/>
        </w:rPr>
        <w:t xml:space="preserve">centos e </w:t>
      </w:r>
      <w:r w:rsidR="00367D5B">
        <w:rPr>
          <w:rFonts w:ascii="Arial" w:hAnsi="Arial" w:cs="Arial"/>
        </w:rPr>
        <w:t>vinte e cinco</w:t>
      </w:r>
      <w:r w:rsidR="00CD479E">
        <w:rPr>
          <w:rFonts w:ascii="Arial" w:hAnsi="Arial" w:cs="Arial"/>
        </w:rPr>
        <w:t xml:space="preserve"> reais e </w:t>
      </w:r>
      <w:r w:rsidR="00367D5B">
        <w:rPr>
          <w:rFonts w:ascii="Arial" w:hAnsi="Arial" w:cs="Arial"/>
        </w:rPr>
        <w:t xml:space="preserve">trinta </w:t>
      </w:r>
      <w:r w:rsidR="00367D5B">
        <w:rPr>
          <w:rFonts w:ascii="Arial" w:hAnsi="Arial" w:cs="Arial"/>
        </w:rPr>
        <w:lastRenderedPageBreak/>
        <w:t xml:space="preserve">e oito </w:t>
      </w:r>
      <w:r w:rsidR="00CD479E">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5F7CEF" w:rsidRPr="00374E7C">
        <w:rPr>
          <w:rFonts w:ascii="Arial" w:hAnsi="Arial" w:cs="Arial"/>
        </w:rPr>
        <w:t>Visitar o local das obras/serviços</w:t>
      </w:r>
      <w:r w:rsidR="005F7CEF">
        <w:rPr>
          <w:rFonts w:ascii="Arial" w:hAnsi="Arial" w:cs="Arial"/>
        </w:rPr>
        <w:t xml:space="preserve">, ou apresentar </w:t>
      </w:r>
      <w:r w:rsidR="005F7CEF">
        <w:rPr>
          <w:rFonts w:ascii="Arial" w:eastAsia="Times New Roman" w:hAnsi="Arial" w:cs="Arial"/>
          <w:lang w:eastAsia="ar-SA"/>
        </w:rPr>
        <w:t>declaração formal assinada pelo responsável técnico informando conhecimento pleno das condições e peculiaridades da contratação</w:t>
      </w:r>
      <w:r w:rsidR="005F7CEF" w:rsidRPr="00374E7C">
        <w:rPr>
          <w:rFonts w:ascii="Arial" w:hAnsi="Arial" w:cs="Arial"/>
        </w:rPr>
        <w:t xml:space="preserve">. A visita deverá ser agendada junto à Secretaria de </w:t>
      </w:r>
      <w:r w:rsidR="005F7CEF">
        <w:rPr>
          <w:rFonts w:ascii="Arial" w:eastAsia="Times New Roman" w:hAnsi="Arial" w:cs="Arial"/>
          <w:lang w:eastAsia="ar-SA"/>
        </w:rPr>
        <w:t>Projetos Especiais, Convênios e Habitação</w:t>
      </w:r>
      <w:r w:rsidR="005F7CEF" w:rsidRPr="00374E7C">
        <w:rPr>
          <w:rFonts w:ascii="Arial" w:hAnsi="Arial" w:cs="Arial"/>
        </w:rPr>
        <w:t xml:space="preserve"> com </w:t>
      </w:r>
      <w:r w:rsidR="005F7CEF" w:rsidRPr="007A4C1E">
        <w:rPr>
          <w:rFonts w:ascii="Arial" w:eastAsia="Times New Roman" w:hAnsi="Arial" w:cs="Arial"/>
          <w:lang w:eastAsia="ar-SA"/>
        </w:rPr>
        <w:t>o Sr. Tércio, sita a Rua Joaquim das Neves, 211, Vila Caldas, Carapicuíba – telefone: (11) 4164</w:t>
      </w:r>
      <w:r w:rsidR="005F7CEF">
        <w:rPr>
          <w:rFonts w:ascii="Arial" w:eastAsia="Times New Roman" w:hAnsi="Arial" w:cs="Arial"/>
          <w:lang w:eastAsia="ar-SA"/>
        </w:rPr>
        <w:t>-</w:t>
      </w:r>
      <w:r w:rsidR="005F7CEF" w:rsidRPr="007A4C1E">
        <w:rPr>
          <w:rFonts w:ascii="Arial" w:eastAsia="Times New Roman" w:hAnsi="Arial" w:cs="Arial"/>
          <w:lang w:eastAsia="ar-SA"/>
        </w:rPr>
        <w:t xml:space="preserve">5500 - Ramal 5341, ou através do e-mail: </w:t>
      </w:r>
      <w:hyperlink r:id="rId11" w:history="1">
        <w:r w:rsidR="005F7CEF" w:rsidRPr="007A4C1E">
          <w:rPr>
            <w:rFonts w:ascii="Arial" w:eastAsia="Times New Roman" w:hAnsi="Arial" w:cs="Arial"/>
            <w:color w:val="0000FF"/>
            <w:u w:val="single"/>
            <w:lang w:eastAsia="ar-SA"/>
          </w:rPr>
          <w:t>diretoria.habitacao@carapicuiba.sp.gov.br</w:t>
        </w:r>
      </w:hyperlink>
      <w:r w:rsidR="005F7CEF" w:rsidRPr="00374E7C">
        <w:rPr>
          <w:rFonts w:ascii="Arial" w:hAnsi="Arial" w:cs="Arial"/>
        </w:rPr>
        <w:t xml:space="preserve">.  A Secretaria de </w:t>
      </w:r>
      <w:r w:rsidR="005F7CEF">
        <w:rPr>
          <w:rFonts w:ascii="Arial" w:eastAsia="Times New Roman" w:hAnsi="Arial" w:cs="Arial"/>
          <w:lang w:eastAsia="ar-SA"/>
        </w:rPr>
        <w:t>Projetos Especiais, Convênios e Habitação</w:t>
      </w:r>
      <w:r w:rsidR="005F7CEF" w:rsidRPr="00374E7C">
        <w:rPr>
          <w:rFonts w:ascii="Arial" w:hAnsi="Arial" w:cs="Arial"/>
        </w:rPr>
        <w:t>, através de responsável fornecerá o Atestado de Visita em nome da empresa e indicando o representante da licitante interessada que participa da visita</w:t>
      </w:r>
      <w:r w:rsidR="005F7CEF" w:rsidRPr="007E1FD3">
        <w:rPr>
          <w:rFonts w:ascii="Arial" w:eastAsia="Times New Roman" w:hAnsi="Arial" w:cs="Arial"/>
          <w:lang w:eastAsia="ar-SA"/>
        </w:rPr>
        <w:t>.</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D2092D" w:rsidRDefault="00D2092D"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r w:rsidR="009317C8" w:rsidRPr="0070712F">
        <w:rPr>
          <w:rFonts w:ascii="Arial" w:eastAsia="Times New Roman" w:hAnsi="Arial" w:cs="Arial"/>
          <w:color w:val="000000"/>
        </w:rPr>
        <w:t xml:space="preserve"> </w:t>
      </w:r>
      <w:r w:rsidRPr="0070712F">
        <w:rPr>
          <w:rFonts w:ascii="Arial" w:eastAsia="Times New Roman" w:hAnsi="Arial" w:cs="Arial"/>
          <w:color w:val="000000"/>
        </w:rPr>
        <w:t>normas</w:t>
      </w:r>
      <w:r w:rsidR="009317C8" w:rsidRPr="0070712F">
        <w:rPr>
          <w:rFonts w:ascii="Arial" w:eastAsia="Times New Roman" w:hAnsi="Arial" w:cs="Arial"/>
          <w:color w:val="000000"/>
        </w:rPr>
        <w:t xml:space="preserve"> </w:t>
      </w:r>
      <w:r w:rsidR="00A37759" w:rsidRPr="0070712F">
        <w:rPr>
          <w:rFonts w:ascii="Arial" w:eastAsia="Times New Roman" w:hAnsi="Arial" w:cs="Arial"/>
          <w:color w:val="000000"/>
        </w:rPr>
        <w:t>infra legais</w:t>
      </w:r>
      <w:r w:rsidRPr="0070712F">
        <w:rPr>
          <w:rFonts w:ascii="Arial" w:eastAsia="Times New Roman" w:hAnsi="Arial" w:cs="Arial"/>
          <w:color w:val="000000"/>
        </w:rPr>
        <w:t>,</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VXII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54525">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B64072" w:rsidRPr="00B64072" w:rsidRDefault="00B64072" w:rsidP="00B64072">
      <w:pPr>
        <w:tabs>
          <w:tab w:val="num" w:pos="709"/>
        </w:tabs>
        <w:suppressAutoHyphens/>
        <w:ind w:right="-142"/>
        <w:jc w:val="both"/>
        <w:rPr>
          <w:rFonts w:ascii="Arial" w:eastAsia="Times New Roman" w:hAnsi="Arial" w:cs="Arial"/>
          <w:lang w:eastAsia="ar-SA"/>
        </w:rPr>
      </w:pPr>
      <w:r>
        <w:rPr>
          <w:rFonts w:ascii="Arial" w:eastAsia="Times New Roman" w:hAnsi="Arial" w:cs="Arial"/>
          <w:lang w:eastAsia="ar-SA"/>
        </w:rPr>
        <w:t xml:space="preserve">4.12. </w:t>
      </w:r>
      <w:r w:rsidRPr="00B64072">
        <w:rPr>
          <w:rFonts w:ascii="Arial" w:eastAsia="Times New Roman" w:hAnsi="Arial" w:cs="Arial"/>
          <w:lang w:eastAsia="ar-SA"/>
        </w:rPr>
        <w:t xml:space="preserve">Para as </w:t>
      </w:r>
      <w:r w:rsidRPr="00B64072">
        <w:rPr>
          <w:rFonts w:ascii="Arial" w:eastAsia="Times New Roman" w:hAnsi="Arial" w:cs="Arial"/>
          <w:u w:val="single"/>
          <w:lang w:eastAsia="ar-SA"/>
        </w:rPr>
        <w:t xml:space="preserve">empresas reunidas </w:t>
      </w:r>
      <w:r w:rsidR="00E255BF">
        <w:rPr>
          <w:rFonts w:ascii="Arial" w:eastAsia="Times New Roman" w:hAnsi="Arial" w:cs="Arial"/>
          <w:u w:val="single"/>
          <w:lang w:eastAsia="ar-SA"/>
        </w:rPr>
        <w:t>na</w:t>
      </w:r>
      <w:r w:rsidRPr="00B64072">
        <w:rPr>
          <w:rFonts w:ascii="Arial" w:eastAsia="Times New Roman" w:hAnsi="Arial" w:cs="Arial"/>
          <w:u w:val="single"/>
          <w:lang w:eastAsia="ar-SA"/>
        </w:rPr>
        <w:t xml:space="preserve"> forma de consórcio</w:t>
      </w:r>
      <w:r w:rsidRPr="00B64072">
        <w:rPr>
          <w:rFonts w:ascii="Arial" w:eastAsia="Times New Roman" w:hAnsi="Arial" w:cs="Arial"/>
          <w:lang w:eastAsia="ar-SA"/>
        </w:rPr>
        <w:t xml:space="preserve">, deverão ser atendidos os seguintes itens abaixo, </w:t>
      </w:r>
      <w:proofErr w:type="gramStart"/>
      <w:r w:rsidRPr="00B64072">
        <w:rPr>
          <w:rFonts w:ascii="Arial" w:eastAsia="Times New Roman" w:hAnsi="Arial" w:cs="Arial"/>
          <w:lang w:eastAsia="ar-SA"/>
        </w:rPr>
        <w:t>sob pena</w:t>
      </w:r>
      <w:proofErr w:type="gramEnd"/>
      <w:r w:rsidRPr="00B64072">
        <w:rPr>
          <w:rFonts w:ascii="Arial" w:eastAsia="Times New Roman" w:hAnsi="Arial" w:cs="Arial"/>
          <w:lang w:eastAsia="ar-SA"/>
        </w:rPr>
        <w:t xml:space="preserve"> de inabilitação, caso os mesmos não sejam atendidos;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a) Apresentar a comprovação do compromisso público ou particular de constituição do consórcio, subscrito pelos consorciados.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b) Apresentar indicação da empresa responsável pelo consórcio que deverá atender às condições de liderança, obrigatoriamente fixadas neste edital.</w:t>
      </w:r>
    </w:p>
    <w:p w:rsidR="00B64072" w:rsidRPr="00B64072" w:rsidRDefault="00B64072" w:rsidP="00B64072">
      <w:pPr>
        <w:tabs>
          <w:tab w:val="num" w:pos="750"/>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c) As empresas participantes na forma de consórcio deverão </w:t>
      </w:r>
      <w:r w:rsidRPr="00B64072">
        <w:rPr>
          <w:rFonts w:ascii="Arial" w:eastAsia="Times New Roman" w:hAnsi="Arial" w:cs="Arial"/>
          <w:u w:val="single"/>
          <w:lang w:eastAsia="ar-SA"/>
        </w:rPr>
        <w:t>para cada consorciado</w:t>
      </w:r>
      <w:r w:rsidRPr="00B64072">
        <w:rPr>
          <w:rFonts w:ascii="Arial" w:eastAsia="Times New Roman" w:hAnsi="Arial" w:cs="Arial"/>
          <w:lang w:eastAsia="ar-SA"/>
        </w:rPr>
        <w:t xml:space="preserve"> apresentar os documentos exigidos no item </w:t>
      </w:r>
      <w:proofErr w:type="gramStart"/>
      <w:r w:rsidR="00CE7CD2">
        <w:rPr>
          <w:rFonts w:ascii="Arial" w:eastAsia="Times New Roman" w:hAnsi="Arial" w:cs="Arial"/>
          <w:lang w:eastAsia="ar-SA"/>
        </w:rPr>
        <w:t>9</w:t>
      </w:r>
      <w:proofErr w:type="gramEnd"/>
      <w:r w:rsidRPr="00B64072">
        <w:rPr>
          <w:rFonts w:ascii="Arial" w:eastAsia="Times New Roman" w:hAnsi="Arial" w:cs="Arial"/>
          <w:lang w:eastAsia="ar-SA"/>
        </w:rPr>
        <w:t xml:space="preserve"> deste edital “Da Fase de Habilitação”.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d) A caução de participação, conforme item </w:t>
      </w:r>
      <w:proofErr w:type="gramStart"/>
      <w:r w:rsidRPr="00B64072">
        <w:rPr>
          <w:rFonts w:ascii="Arial" w:eastAsia="Times New Roman" w:hAnsi="Arial" w:cs="Arial"/>
          <w:lang w:eastAsia="ar-SA"/>
        </w:rPr>
        <w:t>5</w:t>
      </w:r>
      <w:proofErr w:type="gramEnd"/>
      <w:r w:rsidRPr="00B64072">
        <w:rPr>
          <w:rFonts w:ascii="Arial" w:eastAsia="Times New Roman" w:hAnsi="Arial" w:cs="Arial"/>
          <w:lang w:eastAsia="ar-SA"/>
        </w:rPr>
        <w:t xml:space="preserve"> deverá ser feita por cada empresa participante do consórcio, o percentual de participação na caução deverá ser o mesmo da participação do consórcio, acrescido de 30% (trinta por cento) do valor exigido para o licitante individual.</w:t>
      </w:r>
    </w:p>
    <w:p w:rsidR="00B64072" w:rsidRPr="00B64072" w:rsidRDefault="00B64072" w:rsidP="00B64072">
      <w:pPr>
        <w:tabs>
          <w:tab w:val="num" w:pos="709"/>
        </w:tabs>
        <w:ind w:right="-142"/>
        <w:rPr>
          <w:rFonts w:ascii="Arial" w:eastAsia="Times New Roman" w:hAnsi="Arial" w:cs="Arial"/>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e) </w:t>
      </w:r>
      <w:proofErr w:type="gramStart"/>
      <w:r w:rsidRPr="00B64072">
        <w:rPr>
          <w:rFonts w:ascii="Arial" w:eastAsia="Times New Roman" w:hAnsi="Arial" w:cs="Arial"/>
          <w:lang w:eastAsia="ar-SA"/>
        </w:rPr>
        <w:t>A comprovação de Capital Social ou Patrimônio Liquido</w:t>
      </w:r>
      <w:proofErr w:type="gramEnd"/>
      <w:r w:rsidRPr="00B64072">
        <w:rPr>
          <w:rFonts w:ascii="Arial" w:eastAsia="Times New Roman" w:hAnsi="Arial" w:cs="Arial"/>
          <w:lang w:eastAsia="ar-SA"/>
        </w:rPr>
        <w:t xml:space="preserve">, exigido na Qualificação Econômico-Financeira, conforme item  </w:t>
      </w:r>
      <w:r w:rsidR="00FE4ACC">
        <w:rPr>
          <w:rFonts w:ascii="Arial" w:eastAsia="Times New Roman" w:hAnsi="Arial" w:cs="Arial"/>
        </w:rPr>
        <w:t>9.3</w:t>
      </w:r>
      <w:r w:rsidRPr="00B64072">
        <w:rPr>
          <w:rFonts w:ascii="Arial" w:eastAsia="Times New Roman" w:hAnsi="Arial" w:cs="Arial"/>
          <w:lang w:eastAsia="ar-SA"/>
        </w:rPr>
        <w:t xml:space="preserve">  alínea “</w:t>
      </w:r>
      <w:r w:rsidR="00FE4ACC">
        <w:rPr>
          <w:rFonts w:ascii="Arial" w:eastAsia="Times New Roman" w:hAnsi="Arial" w:cs="Arial"/>
          <w:lang w:eastAsia="ar-SA"/>
        </w:rPr>
        <w:t>c</w:t>
      </w:r>
      <w:r w:rsidRPr="00B64072">
        <w:rPr>
          <w:rFonts w:ascii="Arial" w:eastAsia="Times New Roman" w:hAnsi="Arial" w:cs="Arial"/>
          <w:lang w:eastAsia="ar-SA"/>
        </w:rPr>
        <w:t xml:space="preserve">” deste edital, no caso de consórcio, será </w:t>
      </w:r>
      <w:r w:rsidR="002B13A1">
        <w:rPr>
          <w:rFonts w:ascii="Arial" w:eastAsia="Times New Roman" w:hAnsi="Arial" w:cs="Arial"/>
          <w:lang w:eastAsia="ar-SA"/>
        </w:rPr>
        <w:t>comprovado através d</w:t>
      </w:r>
      <w:r w:rsidRPr="00B64072">
        <w:rPr>
          <w:rFonts w:ascii="Arial" w:eastAsia="Times New Roman" w:hAnsi="Arial" w:cs="Arial"/>
          <w:lang w:eastAsia="ar-SA"/>
        </w:rPr>
        <w:t xml:space="preserve">o somatório dos valores de cada consorciado, na proporção de sua respectiva participação, acrescido de </w:t>
      </w:r>
      <w:r w:rsidR="0006649C">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f) Fica vedada a participação de empresa consorciada, na mesma licitação, através de mais de um consórcio ou isoladamente;</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g) As empresas participantes em consórcio serão responsáveis solidariamente pelos atos praticados em consórcio, tanto na fase da licitação, quanto na execução do contrato.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h) No caso de consórcio de empresas brasileiras e estrangeiras, a liderança caberá obrigatoriamente à </w:t>
      </w:r>
      <w:proofErr w:type="gramStart"/>
      <w:r w:rsidRPr="00B64072">
        <w:rPr>
          <w:rFonts w:ascii="Arial" w:eastAsia="Times New Roman" w:hAnsi="Arial" w:cs="Arial"/>
          <w:lang w:eastAsia="ar-SA"/>
        </w:rPr>
        <w:t>empresa brasileira, observado</w:t>
      </w:r>
      <w:proofErr w:type="gramEnd"/>
      <w:r w:rsidRPr="00B64072">
        <w:rPr>
          <w:rFonts w:ascii="Arial" w:eastAsia="Times New Roman" w:hAnsi="Arial" w:cs="Arial"/>
          <w:lang w:eastAsia="ar-SA"/>
        </w:rPr>
        <w:t xml:space="preserve"> o disposto na alínea “b”.</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lastRenderedPageBreak/>
        <w:t>i) O licitante vencedor, em caso de consórcio, fica obrigado a promover, antes da celebração do contrato, a constituição e o registro do consórcio, nos termos do compromisso, em conformidade com a alínea “a”.</w:t>
      </w:r>
    </w:p>
    <w:p w:rsidR="00B64072" w:rsidRPr="00B64072" w:rsidRDefault="00B64072" w:rsidP="00B64072">
      <w:pPr>
        <w:ind w:right="-142"/>
        <w:jc w:val="both"/>
        <w:rPr>
          <w:rFonts w:ascii="Arial" w:eastAsia="Times New Roman" w:hAnsi="Arial" w:cs="Arial"/>
        </w:rPr>
      </w:pPr>
    </w:p>
    <w:p w:rsidR="00B64072" w:rsidRPr="00B64072" w:rsidRDefault="00B64072" w:rsidP="00B64072">
      <w:pPr>
        <w:ind w:right="-142"/>
        <w:jc w:val="both"/>
        <w:rPr>
          <w:rFonts w:ascii="Arial" w:eastAsia="Times New Roman" w:hAnsi="Arial" w:cs="Arial"/>
        </w:rPr>
      </w:pPr>
    </w:p>
    <w:p w:rsidR="0058502C" w:rsidRDefault="0058502C"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226D07" w:rsidRPr="00226D07" w:rsidRDefault="0023216F" w:rsidP="00226D07">
      <w:pPr>
        <w:tabs>
          <w:tab w:val="num" w:pos="750"/>
        </w:tabs>
        <w:suppressAutoHyphens/>
        <w:spacing w:line="276" w:lineRule="auto"/>
        <w:ind w:right="-568"/>
        <w:jc w:val="both"/>
        <w:rPr>
          <w:rFonts w:ascii="Arial" w:eastAsia="Times New Roman" w:hAnsi="Arial" w:cs="Arial"/>
          <w:lang w:eastAsia="ar-SA"/>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42439F">
        <w:rPr>
          <w:rFonts w:ascii="Arial" w:hAnsi="Arial" w:cs="Arial"/>
        </w:rPr>
        <w:t>48</w:t>
      </w:r>
      <w:r w:rsidR="00462AF3">
        <w:rPr>
          <w:rFonts w:ascii="Arial" w:hAnsi="Arial" w:cs="Arial"/>
        </w:rPr>
        <w:t>.</w:t>
      </w:r>
      <w:r w:rsidR="0042439F">
        <w:rPr>
          <w:rFonts w:ascii="Arial" w:hAnsi="Arial" w:cs="Arial"/>
        </w:rPr>
        <w:t>216</w:t>
      </w:r>
      <w:r w:rsidR="00462AF3">
        <w:rPr>
          <w:rFonts w:ascii="Arial" w:hAnsi="Arial" w:cs="Arial"/>
        </w:rPr>
        <w:t>,</w:t>
      </w:r>
      <w:r w:rsidR="0042439F">
        <w:rPr>
          <w:rFonts w:ascii="Arial" w:hAnsi="Arial" w:cs="Arial"/>
        </w:rPr>
        <w:t>25</w:t>
      </w:r>
      <w:r w:rsidRPr="0023216F">
        <w:rPr>
          <w:rFonts w:ascii="Arial" w:hAnsi="Arial" w:cs="Arial"/>
        </w:rPr>
        <w:t xml:space="preserve"> (</w:t>
      </w:r>
      <w:r w:rsidR="00F15703">
        <w:rPr>
          <w:rFonts w:ascii="Arial" w:hAnsi="Arial" w:cs="Arial"/>
        </w:rPr>
        <w:t>quar</w:t>
      </w:r>
      <w:r w:rsidR="00646368">
        <w:rPr>
          <w:rFonts w:ascii="Arial" w:hAnsi="Arial" w:cs="Arial"/>
        </w:rPr>
        <w:t xml:space="preserve">enta </w:t>
      </w:r>
      <w:r w:rsidR="00F15703">
        <w:rPr>
          <w:rFonts w:ascii="Arial" w:hAnsi="Arial" w:cs="Arial"/>
        </w:rPr>
        <w:t xml:space="preserve">e oito </w:t>
      </w:r>
      <w:r w:rsidR="00646368">
        <w:rPr>
          <w:rFonts w:ascii="Arial" w:hAnsi="Arial" w:cs="Arial"/>
        </w:rPr>
        <w:t xml:space="preserve">mil, </w:t>
      </w:r>
      <w:r w:rsidR="00F15703">
        <w:rPr>
          <w:rFonts w:ascii="Arial" w:hAnsi="Arial" w:cs="Arial"/>
        </w:rPr>
        <w:t>duzentos e dezesseis</w:t>
      </w:r>
      <w:r w:rsidR="00646368">
        <w:rPr>
          <w:rFonts w:ascii="Arial" w:hAnsi="Arial" w:cs="Arial"/>
        </w:rPr>
        <w:t xml:space="preserve"> reais e </w:t>
      </w:r>
      <w:r w:rsidR="00F15703">
        <w:rPr>
          <w:rFonts w:ascii="Arial" w:hAnsi="Arial" w:cs="Arial"/>
        </w:rPr>
        <w:t>vinte e cinco</w:t>
      </w:r>
      <w:r w:rsidR="00646368">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r w:rsidR="00226D07">
        <w:rPr>
          <w:rFonts w:ascii="Arial" w:hAnsi="Arial" w:cs="Arial"/>
        </w:rPr>
        <w:t xml:space="preserve">, </w:t>
      </w:r>
      <w:r w:rsidR="00226D07" w:rsidRPr="00226D07">
        <w:rPr>
          <w:rFonts w:ascii="Arial" w:hAnsi="Arial" w:cs="Arial"/>
          <w:u w:val="single"/>
        </w:rPr>
        <w:t xml:space="preserve">para as empresas </w:t>
      </w:r>
      <w:r w:rsidR="00226D07" w:rsidRPr="00226D07">
        <w:rPr>
          <w:rFonts w:ascii="Arial" w:eastAsia="Times New Roman" w:hAnsi="Arial" w:cs="Arial"/>
          <w:u w:val="single"/>
          <w:lang w:eastAsia="ar-SA"/>
        </w:rPr>
        <w:t>participantes na forma de consórcio deverá ser prestada a garantia por cada empresa participante do consórcio, o percentual de participação na caução deverá ser o mesmo da participação do consórcio acrescido de 30% (trinta por cento) do valor exigido para o licitante individual</w:t>
      </w:r>
      <w:r w:rsidR="00226D07" w:rsidRPr="00226D07">
        <w:rPr>
          <w:rFonts w:ascii="Arial" w:eastAsia="Times New Roman" w:hAnsi="Arial" w:cs="Arial"/>
          <w:lang w:eastAsia="ar-SA"/>
        </w:rPr>
        <w:t>.</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64C05">
        <w:rPr>
          <w:rFonts w:ascii="Arial" w:hAnsi="Arial" w:cs="Arial"/>
        </w:rPr>
        <w:t>5</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lastRenderedPageBreak/>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492DC2">
        <w:rPr>
          <w:rFonts w:ascii="Arial" w:hAnsi="Arial" w:cs="Arial"/>
          <w:color w:val="000000"/>
        </w:rPr>
        <w:t>C</w:t>
      </w:r>
      <w:r w:rsidR="00492DC2" w:rsidRPr="00714DDE">
        <w:rPr>
          <w:rFonts w:ascii="Arial" w:hAnsi="Arial" w:cs="Arial"/>
          <w:color w:val="000000"/>
        </w:rPr>
        <w:t>ertidão negativa de feitos sobre falência expedida pelo distribuidor da sede do licitante</w:t>
      </w:r>
      <w:r w:rsidR="00946587">
        <w:rPr>
          <w:rFonts w:ascii="Arial" w:hAnsi="Arial" w:cs="Arial"/>
          <w:color w:val="000000"/>
        </w:rPr>
        <w:t xml:space="preserve">, </w:t>
      </w:r>
      <w:r w:rsidR="00B638CA">
        <w:rPr>
          <w:rFonts w:ascii="Arial" w:hAnsi="Arial" w:cs="Arial"/>
          <w:color w:val="000000"/>
        </w:rPr>
        <w:t xml:space="preserve">expedida </w:t>
      </w:r>
      <w:r w:rsidR="00946587">
        <w:rPr>
          <w:rFonts w:ascii="Arial" w:hAnsi="Arial" w:cs="Arial"/>
          <w:color w:val="000000"/>
        </w:rPr>
        <w:t xml:space="preserve">com data inferior a 60 (sessenta) dias, da data de </w:t>
      </w:r>
      <w:r w:rsidR="00B638CA">
        <w:rPr>
          <w:rFonts w:ascii="Arial" w:hAnsi="Arial" w:cs="Arial"/>
          <w:color w:val="000000"/>
        </w:rPr>
        <w:t>realização desta Concorrência</w:t>
      </w:r>
      <w:r w:rsidR="00492DC2" w:rsidRPr="0023216F">
        <w:rPr>
          <w:rFonts w:ascii="Arial" w:hAnsi="Arial" w:cs="Arial"/>
        </w:rPr>
        <w:t>;</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c) Apresentar capital mínimo igual ou superior a 10% (dez por cento) do valor estimado para a presente contratação</w:t>
      </w:r>
      <w:r w:rsidR="00983564">
        <w:rPr>
          <w:rFonts w:ascii="Arial" w:hAnsi="Arial" w:cs="Arial"/>
        </w:rPr>
        <w:t>,</w:t>
      </w:r>
      <w:r w:rsidR="00983564" w:rsidRPr="00983564">
        <w:rPr>
          <w:rFonts w:ascii="Arial" w:eastAsia="Times New Roman" w:hAnsi="Arial" w:cs="Arial"/>
          <w:lang w:eastAsia="ar-SA"/>
        </w:rPr>
        <w:t xml:space="preserve"> </w:t>
      </w:r>
      <w:r w:rsidR="00983564">
        <w:rPr>
          <w:rFonts w:ascii="Arial" w:eastAsia="Times New Roman" w:hAnsi="Arial" w:cs="Arial"/>
          <w:lang w:eastAsia="ar-SA"/>
        </w:rPr>
        <w:t xml:space="preserve">para os licitantes </w:t>
      </w:r>
      <w:r w:rsidR="007F38EF">
        <w:rPr>
          <w:rFonts w:ascii="Arial" w:eastAsia="Times New Roman" w:hAnsi="Arial" w:cs="Arial"/>
          <w:lang w:eastAsia="ar-SA"/>
        </w:rPr>
        <w:t>reunidos em</w:t>
      </w:r>
      <w:r w:rsidR="00983564">
        <w:rPr>
          <w:rFonts w:ascii="Arial" w:hAnsi="Arial" w:cs="Arial"/>
        </w:rPr>
        <w:t xml:space="preserve"> </w:t>
      </w:r>
      <w:r w:rsidR="00983564" w:rsidRPr="00B64072">
        <w:rPr>
          <w:rFonts w:ascii="Arial" w:eastAsia="Times New Roman" w:hAnsi="Arial" w:cs="Arial"/>
          <w:lang w:eastAsia="ar-SA"/>
        </w:rPr>
        <w:t xml:space="preserve">consórcio, </w:t>
      </w:r>
      <w:proofErr w:type="gramStart"/>
      <w:r w:rsidR="00983564">
        <w:rPr>
          <w:rFonts w:ascii="Arial" w:eastAsia="Times New Roman" w:hAnsi="Arial" w:cs="Arial"/>
          <w:lang w:eastAsia="ar-SA"/>
        </w:rPr>
        <w:t>a</w:t>
      </w:r>
      <w:proofErr w:type="gramEnd"/>
      <w:r w:rsidR="00983564" w:rsidRPr="00B64072">
        <w:rPr>
          <w:rFonts w:ascii="Arial" w:eastAsia="Times New Roman" w:hAnsi="Arial" w:cs="Arial"/>
          <w:lang w:eastAsia="ar-SA"/>
        </w:rPr>
        <w:t xml:space="preserve"> </w:t>
      </w:r>
      <w:r w:rsidR="00983564">
        <w:rPr>
          <w:rFonts w:ascii="Arial" w:eastAsia="Times New Roman" w:hAnsi="Arial" w:cs="Arial"/>
          <w:lang w:eastAsia="ar-SA"/>
        </w:rPr>
        <w:t>comprovação deverá ser feita através d</w:t>
      </w:r>
      <w:r w:rsidR="00983564" w:rsidRPr="00B64072">
        <w:rPr>
          <w:rFonts w:ascii="Arial" w:eastAsia="Times New Roman" w:hAnsi="Arial" w:cs="Arial"/>
          <w:lang w:eastAsia="ar-SA"/>
        </w:rPr>
        <w:t xml:space="preserve">o somatório dos valores de cada consorciado, na proporção de sua respectiva participação, acrescido de </w:t>
      </w:r>
      <w:r w:rsidR="00983564">
        <w:rPr>
          <w:rFonts w:ascii="Arial" w:eastAsia="Times New Roman" w:hAnsi="Arial" w:cs="Arial"/>
          <w:lang w:eastAsia="ar-SA"/>
        </w:rPr>
        <w:t>30% (trinta por cento) do valor</w:t>
      </w:r>
      <w:r w:rsidR="00983564" w:rsidRPr="00B64072">
        <w:rPr>
          <w:rFonts w:ascii="Arial" w:eastAsia="Times New Roman" w:hAnsi="Arial" w:cs="Arial"/>
          <w:lang w:eastAsia="ar-SA"/>
        </w:rPr>
        <w:t xml:space="preserve"> exigido para o licitante individual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80702E" w:rsidRPr="003B0693" w:rsidTr="0080702E">
        <w:trPr>
          <w:trHeight w:val="656"/>
        </w:trPr>
        <w:tc>
          <w:tcPr>
            <w:tcW w:w="5670" w:type="dxa"/>
            <w:tcBorders>
              <w:top w:val="nil"/>
              <w:left w:val="single" w:sz="4" w:space="0" w:color="auto"/>
              <w:bottom w:val="single" w:sz="4" w:space="0" w:color="auto"/>
              <w:right w:val="single" w:sz="4" w:space="0" w:color="auto"/>
            </w:tcBorders>
            <w:shd w:val="clear" w:color="000000" w:fill="FFFFFF"/>
          </w:tcPr>
          <w:p w:rsidR="0080702E" w:rsidRPr="00DA66E9" w:rsidRDefault="0080702E" w:rsidP="0080702E">
            <w:pPr>
              <w:jc w:val="both"/>
              <w:rPr>
                <w:rFonts w:ascii="Arial" w:hAnsi="Arial" w:cs="Arial"/>
                <w:color w:val="000000"/>
              </w:rPr>
            </w:pPr>
            <w:r w:rsidRPr="00DA66E9">
              <w:rPr>
                <w:rFonts w:ascii="Arial" w:eastAsia="Times New Roman" w:hAnsi="Arial" w:cs="Arial"/>
                <w:color w:val="000000"/>
              </w:rPr>
              <w:t>CARREGAMENTO MECANIZADO DE SOLO DE 1ª E 2ª CATEGORIA</w:t>
            </w:r>
          </w:p>
        </w:tc>
        <w:tc>
          <w:tcPr>
            <w:tcW w:w="1276" w:type="dxa"/>
            <w:tcBorders>
              <w:top w:val="nil"/>
              <w:left w:val="nil"/>
              <w:bottom w:val="single" w:sz="4" w:space="0" w:color="auto"/>
              <w:right w:val="single" w:sz="4" w:space="0" w:color="auto"/>
            </w:tcBorders>
            <w:shd w:val="clear" w:color="000000" w:fill="FFFFFF"/>
            <w:vAlign w:val="center"/>
          </w:tcPr>
          <w:p w:rsidR="0080702E" w:rsidRPr="00DA66E9" w:rsidRDefault="0080702E" w:rsidP="005722C9">
            <w:pPr>
              <w:jc w:val="center"/>
              <w:rPr>
                <w:rFonts w:ascii="Arial" w:hAnsi="Arial" w:cs="Arial"/>
              </w:rPr>
            </w:pPr>
            <w:r w:rsidRPr="00DA66E9">
              <w:rPr>
                <w:rFonts w:ascii="Arial" w:hAnsi="Arial" w:cs="Arial"/>
              </w:rPr>
              <w:t>M³</w:t>
            </w:r>
          </w:p>
        </w:tc>
        <w:tc>
          <w:tcPr>
            <w:tcW w:w="1474" w:type="dxa"/>
            <w:tcBorders>
              <w:top w:val="nil"/>
              <w:left w:val="nil"/>
              <w:bottom w:val="single" w:sz="4" w:space="0" w:color="auto"/>
              <w:right w:val="single" w:sz="4" w:space="0" w:color="auto"/>
            </w:tcBorders>
            <w:shd w:val="clear" w:color="000000" w:fill="FFFFFF"/>
            <w:vAlign w:val="center"/>
          </w:tcPr>
          <w:p w:rsidR="0080702E" w:rsidRPr="00DA66E9" w:rsidRDefault="0080702E" w:rsidP="00DC4BB4">
            <w:pPr>
              <w:jc w:val="center"/>
              <w:rPr>
                <w:rFonts w:ascii="Arial" w:hAnsi="Arial" w:cs="Arial"/>
              </w:rPr>
            </w:pPr>
            <w:r w:rsidRPr="00DA66E9">
              <w:rPr>
                <w:rFonts w:ascii="Arial" w:hAnsi="Arial" w:cs="Arial"/>
              </w:rPr>
              <w:t>23.183</w:t>
            </w:r>
          </w:p>
        </w:tc>
      </w:tr>
      <w:tr w:rsidR="0080702E" w:rsidRPr="003B0693" w:rsidTr="00525B52">
        <w:trPr>
          <w:trHeight w:val="429"/>
        </w:trPr>
        <w:tc>
          <w:tcPr>
            <w:tcW w:w="5670" w:type="dxa"/>
            <w:tcBorders>
              <w:top w:val="nil"/>
              <w:left w:val="single" w:sz="4" w:space="0" w:color="auto"/>
              <w:bottom w:val="single" w:sz="4" w:space="0" w:color="auto"/>
              <w:right w:val="single" w:sz="4" w:space="0" w:color="auto"/>
            </w:tcBorders>
            <w:shd w:val="clear" w:color="000000" w:fill="FFFFFF"/>
          </w:tcPr>
          <w:p w:rsidR="0080702E" w:rsidRPr="00DA66E9" w:rsidRDefault="0080702E" w:rsidP="0080702E">
            <w:pPr>
              <w:jc w:val="both"/>
              <w:rPr>
                <w:rFonts w:ascii="Arial" w:hAnsi="Arial" w:cs="Arial"/>
                <w:color w:val="000000"/>
              </w:rPr>
            </w:pPr>
            <w:r w:rsidRPr="00DA66E9">
              <w:rPr>
                <w:rFonts w:ascii="Arial" w:hAnsi="Arial" w:cs="Arial"/>
              </w:rPr>
              <w:t>FORMA EM MADEIRA COMUM PARA ESTRUTURA</w:t>
            </w:r>
          </w:p>
        </w:tc>
        <w:tc>
          <w:tcPr>
            <w:tcW w:w="1276" w:type="dxa"/>
            <w:tcBorders>
              <w:top w:val="nil"/>
              <w:left w:val="nil"/>
              <w:bottom w:val="single" w:sz="4" w:space="0" w:color="auto"/>
              <w:right w:val="single" w:sz="4" w:space="0" w:color="auto"/>
            </w:tcBorders>
            <w:shd w:val="clear" w:color="000000" w:fill="FFFFFF"/>
            <w:vAlign w:val="center"/>
          </w:tcPr>
          <w:p w:rsidR="0080702E" w:rsidRPr="00DA66E9" w:rsidRDefault="0080702E" w:rsidP="005722C9">
            <w:pPr>
              <w:jc w:val="center"/>
              <w:rPr>
                <w:rFonts w:ascii="Arial" w:hAnsi="Arial" w:cs="Arial"/>
              </w:rPr>
            </w:pPr>
            <w:r w:rsidRPr="00DA66E9">
              <w:rPr>
                <w:rFonts w:ascii="Arial" w:hAnsi="Arial" w:cs="Arial"/>
              </w:rPr>
              <w:t>M²</w:t>
            </w:r>
          </w:p>
        </w:tc>
        <w:tc>
          <w:tcPr>
            <w:tcW w:w="1474" w:type="dxa"/>
            <w:tcBorders>
              <w:top w:val="nil"/>
              <w:left w:val="nil"/>
              <w:bottom w:val="single" w:sz="4" w:space="0" w:color="auto"/>
              <w:right w:val="single" w:sz="4" w:space="0" w:color="auto"/>
            </w:tcBorders>
            <w:shd w:val="clear" w:color="000000" w:fill="FFFFFF"/>
            <w:vAlign w:val="center"/>
          </w:tcPr>
          <w:p w:rsidR="0080702E" w:rsidRPr="00DA66E9" w:rsidRDefault="0080702E" w:rsidP="00DC4BB4">
            <w:pPr>
              <w:jc w:val="center"/>
              <w:rPr>
                <w:rFonts w:ascii="Arial" w:hAnsi="Arial" w:cs="Arial"/>
              </w:rPr>
            </w:pPr>
            <w:r w:rsidRPr="00DA66E9">
              <w:rPr>
                <w:rFonts w:ascii="Arial" w:hAnsi="Arial" w:cs="Arial"/>
              </w:rPr>
              <w:t>1.121</w:t>
            </w:r>
          </w:p>
        </w:tc>
      </w:tr>
      <w:tr w:rsidR="0080702E" w:rsidRPr="003B0693" w:rsidTr="00525B52">
        <w:trPr>
          <w:trHeight w:val="485"/>
        </w:trPr>
        <w:tc>
          <w:tcPr>
            <w:tcW w:w="5670" w:type="dxa"/>
            <w:tcBorders>
              <w:top w:val="nil"/>
              <w:left w:val="single" w:sz="4" w:space="0" w:color="auto"/>
              <w:bottom w:val="single" w:sz="4" w:space="0" w:color="auto"/>
              <w:right w:val="single" w:sz="4" w:space="0" w:color="auto"/>
            </w:tcBorders>
            <w:shd w:val="clear" w:color="000000" w:fill="FFFFFF"/>
          </w:tcPr>
          <w:p w:rsidR="0080702E" w:rsidRPr="00DA66E9" w:rsidRDefault="0080702E" w:rsidP="0080702E">
            <w:pPr>
              <w:rPr>
                <w:rFonts w:ascii="Arial" w:hAnsi="Arial" w:cs="Arial"/>
                <w:color w:val="000000"/>
              </w:rPr>
            </w:pPr>
            <w:r w:rsidRPr="00DA66E9">
              <w:rPr>
                <w:rFonts w:ascii="Arial" w:hAnsi="Arial" w:cs="Arial"/>
              </w:rPr>
              <w:t>ARMADURA EM BARRA DE AÇO CA-50 (A OU B) FYK = 500 MPA</w:t>
            </w:r>
          </w:p>
        </w:tc>
        <w:tc>
          <w:tcPr>
            <w:tcW w:w="1276" w:type="dxa"/>
            <w:tcBorders>
              <w:top w:val="nil"/>
              <w:left w:val="nil"/>
              <w:bottom w:val="single" w:sz="4" w:space="0" w:color="auto"/>
              <w:right w:val="single" w:sz="4" w:space="0" w:color="auto"/>
            </w:tcBorders>
            <w:shd w:val="clear" w:color="000000" w:fill="FFFFFF"/>
            <w:vAlign w:val="center"/>
          </w:tcPr>
          <w:p w:rsidR="0080702E" w:rsidRPr="00DA66E9" w:rsidRDefault="0080702E" w:rsidP="005722C9">
            <w:pPr>
              <w:jc w:val="center"/>
              <w:rPr>
                <w:rFonts w:ascii="Arial" w:hAnsi="Arial" w:cs="Arial"/>
              </w:rPr>
            </w:pPr>
            <w:r w:rsidRPr="00DA66E9">
              <w:rPr>
                <w:rFonts w:ascii="Arial"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80702E" w:rsidRPr="00DA66E9" w:rsidRDefault="0080702E" w:rsidP="00DC4BB4">
            <w:pPr>
              <w:jc w:val="center"/>
              <w:rPr>
                <w:rFonts w:ascii="Arial" w:hAnsi="Arial" w:cs="Arial"/>
              </w:rPr>
            </w:pPr>
            <w:r w:rsidRPr="00DA66E9">
              <w:rPr>
                <w:rFonts w:ascii="Arial" w:hAnsi="Arial" w:cs="Arial"/>
              </w:rPr>
              <w:t>134.520</w:t>
            </w:r>
          </w:p>
        </w:tc>
      </w:tr>
      <w:tr w:rsidR="0080702E" w:rsidRPr="003B0693" w:rsidTr="00525B52">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80702E" w:rsidRPr="00DA66E9" w:rsidRDefault="0080702E" w:rsidP="0080702E">
            <w:pPr>
              <w:rPr>
                <w:rFonts w:ascii="Arial" w:hAnsi="Arial" w:cs="Arial"/>
              </w:rPr>
            </w:pPr>
            <w:r w:rsidRPr="00DA66E9">
              <w:rPr>
                <w:rFonts w:ascii="Arial" w:hAnsi="Arial" w:cs="Arial"/>
              </w:rPr>
              <w:t xml:space="preserve">ESCORAMENTO COM ESTACAS PRANCHAS METÁLICAS - PROFUNDIDADE ATÉ </w:t>
            </w:r>
            <w:proofErr w:type="gramStart"/>
            <w:r w:rsidRPr="00DA66E9">
              <w:rPr>
                <w:rFonts w:ascii="Arial" w:hAnsi="Arial" w:cs="Arial"/>
              </w:rPr>
              <w:t>8 M</w:t>
            </w:r>
            <w:proofErr w:type="gramEnd"/>
          </w:p>
        </w:tc>
        <w:tc>
          <w:tcPr>
            <w:tcW w:w="1276" w:type="dxa"/>
            <w:tcBorders>
              <w:top w:val="single" w:sz="4" w:space="0" w:color="auto"/>
              <w:left w:val="nil"/>
              <w:bottom w:val="single" w:sz="4" w:space="0" w:color="auto"/>
              <w:right w:val="single" w:sz="4" w:space="0" w:color="auto"/>
            </w:tcBorders>
            <w:shd w:val="clear" w:color="000000" w:fill="FFFFFF"/>
            <w:vAlign w:val="center"/>
          </w:tcPr>
          <w:p w:rsidR="0080702E" w:rsidRPr="00DA66E9" w:rsidRDefault="0080702E" w:rsidP="003B0693">
            <w:pPr>
              <w:jc w:val="center"/>
              <w:rPr>
                <w:rFonts w:ascii="Arial" w:eastAsia="Times New Roman" w:hAnsi="Arial" w:cs="Arial"/>
              </w:rPr>
            </w:pPr>
            <w:r w:rsidRPr="00DA66E9">
              <w:rPr>
                <w:rFonts w:ascii="Arial" w:eastAsia="Times New Roman" w:hAnsi="Arial" w:cs="Arial"/>
              </w:rPr>
              <w:t>M²</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80702E" w:rsidRPr="00DA66E9" w:rsidRDefault="0080702E" w:rsidP="003B0693">
            <w:pPr>
              <w:jc w:val="center"/>
              <w:rPr>
                <w:rFonts w:ascii="Arial" w:eastAsia="Times New Roman" w:hAnsi="Arial" w:cs="Arial"/>
              </w:rPr>
            </w:pPr>
            <w:r w:rsidRPr="00DA66E9">
              <w:rPr>
                <w:rFonts w:ascii="Arial" w:eastAsia="Times New Roman" w:hAnsi="Arial" w:cs="Arial"/>
              </w:rPr>
              <w:t>245</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w:t>
      </w:r>
      <w:r w:rsidRPr="000D1A09">
        <w:rPr>
          <w:rFonts w:ascii="Arial" w:hAnsi="Arial" w:cs="Arial"/>
          <w:u w:val="single"/>
        </w:rPr>
        <w:t>será considerado para fins de comprovação das experiências, o percentual de participação de cada consorciado</w:t>
      </w:r>
      <w:r w:rsidRPr="0023216F">
        <w:rPr>
          <w:rFonts w:ascii="Arial" w:hAnsi="Arial" w:cs="Arial"/>
        </w:rPr>
        <w:t xml:space="preserve">.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w:t>
      </w:r>
      <w:r w:rsidR="00B33272">
        <w:rPr>
          <w:rFonts w:ascii="Arial" w:eastAsia="Times New Roman" w:hAnsi="Arial" w:cs="Arial"/>
          <w:lang w:eastAsia="ar-SA"/>
        </w:rPr>
        <w:t>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w:t>
      </w:r>
      <w:r w:rsidR="00215C30" w:rsidRPr="00215C30">
        <w:rPr>
          <w:rFonts w:ascii="Arial" w:eastAsia="Times New Roman" w:hAnsi="Arial" w:cs="Arial"/>
          <w:lang w:eastAsia="ar-SA"/>
        </w:rPr>
        <w:lastRenderedPageBreak/>
        <w:t xml:space="preserve">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5D0B2B" w:rsidRPr="00215C30" w:rsidTr="007F515A">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color w:val="000000"/>
              </w:rPr>
            </w:pPr>
            <w:r w:rsidRPr="00DA66E9">
              <w:rPr>
                <w:rFonts w:ascii="Arial" w:eastAsia="Times New Roman" w:hAnsi="Arial" w:cs="Arial"/>
                <w:color w:val="000000"/>
              </w:rPr>
              <w:t>CARREGAMENTO MECANIZADO DE SOLO DE 1ª E 2ª CATEGORIA</w:t>
            </w:r>
          </w:p>
        </w:tc>
      </w:tr>
      <w:tr w:rsidR="005D0B2B" w:rsidRPr="00215C30" w:rsidTr="007F515A">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color w:val="000000"/>
              </w:rPr>
            </w:pPr>
            <w:r w:rsidRPr="00DA66E9">
              <w:rPr>
                <w:rFonts w:ascii="Arial" w:hAnsi="Arial" w:cs="Arial"/>
              </w:rPr>
              <w:t>FORMA EM MADEIRA COMUM PARA ESTRUTURA</w:t>
            </w:r>
          </w:p>
        </w:tc>
      </w:tr>
      <w:tr w:rsidR="005D0B2B" w:rsidRPr="00215C30" w:rsidTr="007F515A">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color w:val="000000"/>
              </w:rPr>
            </w:pPr>
            <w:r w:rsidRPr="00DA66E9">
              <w:rPr>
                <w:rFonts w:ascii="Arial" w:hAnsi="Arial" w:cs="Arial"/>
              </w:rPr>
              <w:t>ARMADURA EM BARRA DE AÇO CA-50 (A OU B) FYK = 500 MPA</w:t>
            </w:r>
          </w:p>
        </w:tc>
      </w:tr>
      <w:tr w:rsidR="005D0B2B" w:rsidRPr="00215C30" w:rsidTr="007F515A">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5D0B2B" w:rsidRPr="00DA66E9" w:rsidRDefault="005D0B2B" w:rsidP="00866B4E">
            <w:pPr>
              <w:jc w:val="both"/>
              <w:rPr>
                <w:rFonts w:ascii="Arial" w:hAnsi="Arial" w:cs="Arial"/>
              </w:rPr>
            </w:pPr>
            <w:r w:rsidRPr="00DA66E9">
              <w:rPr>
                <w:rFonts w:ascii="Arial" w:hAnsi="Arial" w:cs="Arial"/>
              </w:rPr>
              <w:t xml:space="preserve">ESCORAMENTO COM ESTACAS PRANCHAS METÁLICAS - PROFUNDIDADE ATÉ </w:t>
            </w:r>
            <w:proofErr w:type="gramStart"/>
            <w:r w:rsidRPr="00DA66E9">
              <w:rPr>
                <w:rFonts w:ascii="Arial" w:hAnsi="Arial" w:cs="Arial"/>
              </w:rPr>
              <w:t>8 M</w:t>
            </w:r>
            <w:proofErr w:type="gramEnd"/>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lastRenderedPageBreak/>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lastRenderedPageBreak/>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w:t>
      </w:r>
      <w:r w:rsidRPr="0023216F">
        <w:rPr>
          <w:rFonts w:ascii="Arial" w:hAnsi="Arial" w:cs="Arial"/>
        </w:rPr>
        <w:lastRenderedPageBreak/>
        <w:t xml:space="preserve">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w:t>
      </w:r>
      <w:r w:rsidRPr="0023216F">
        <w:rPr>
          <w:rFonts w:ascii="Arial" w:hAnsi="Arial" w:cs="Arial"/>
        </w:rPr>
        <w:lastRenderedPageBreak/>
        <w:t xml:space="preserve">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2"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r w:rsidR="007925C3"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6D35CC" w:rsidRDefault="006D35CC" w:rsidP="008A2FC6">
      <w:pPr>
        <w:ind w:right="-568"/>
        <w:jc w:val="both"/>
        <w:rPr>
          <w:rFonts w:ascii="Arial" w:hAnsi="Arial" w:cs="Arial"/>
        </w:rPr>
      </w:pPr>
    </w:p>
    <w:p w:rsidR="006D35CC" w:rsidRDefault="006D35CC" w:rsidP="006D35CC">
      <w:pPr>
        <w:ind w:right="-568"/>
        <w:jc w:val="both"/>
        <w:rPr>
          <w:rFonts w:ascii="Arial" w:hAnsi="Arial" w:cs="Arial"/>
        </w:rPr>
      </w:pPr>
      <w:r>
        <w:rPr>
          <w:rFonts w:ascii="Arial" w:hAnsi="Arial" w:cs="Arial"/>
        </w:rPr>
        <w:t>16.20.</w:t>
      </w:r>
      <w:r w:rsidRPr="0023216F">
        <w:rPr>
          <w:rFonts w:ascii="Arial" w:hAnsi="Arial" w:cs="Arial"/>
        </w:rPr>
        <w:t xml:space="preserve"> </w:t>
      </w:r>
      <w:r>
        <w:rPr>
          <w:rFonts w:ascii="Arial" w:hAnsi="Arial" w:cs="Arial"/>
        </w:rPr>
        <w:t>O</w:t>
      </w:r>
      <w:r w:rsidRPr="0023216F">
        <w:rPr>
          <w:rFonts w:ascii="Arial" w:hAnsi="Arial" w:cs="Arial"/>
        </w:rPr>
        <w:t xml:space="preserve"> </w:t>
      </w:r>
      <w:r>
        <w:rPr>
          <w:rFonts w:ascii="Arial" w:hAnsi="Arial" w:cs="Arial"/>
        </w:rPr>
        <w:t>Agente</w:t>
      </w:r>
      <w:r w:rsidRPr="0023216F">
        <w:rPr>
          <w:rFonts w:ascii="Arial" w:hAnsi="Arial" w:cs="Arial"/>
        </w:rPr>
        <w:t xml:space="preserve"> de Contratação </w:t>
      </w:r>
      <w:r>
        <w:rPr>
          <w:rFonts w:ascii="Arial" w:hAnsi="Arial" w:cs="Arial"/>
        </w:rPr>
        <w:t xml:space="preserve">e equipe de apoio </w:t>
      </w:r>
      <w:r w:rsidRPr="0023216F">
        <w:rPr>
          <w:rFonts w:ascii="Arial" w:hAnsi="Arial" w:cs="Arial"/>
        </w:rPr>
        <w:t>da presente licitação não se responsabilizará por informações prestadas erroneamente pelas licitantes, enviadas para e-mails diferentes do informado neste instrumento, assim como solicitações realizadas fora do prazo ou sem tempo hábil para análise e produção d</w:t>
      </w:r>
      <w:r w:rsidR="00E05D8C">
        <w:rPr>
          <w:rFonts w:ascii="Arial" w:hAnsi="Arial" w:cs="Arial"/>
        </w:rPr>
        <w:t>a</w:t>
      </w:r>
      <w:r w:rsidRPr="0023216F">
        <w:rPr>
          <w:rFonts w:ascii="Arial" w:hAnsi="Arial" w:cs="Arial"/>
        </w:rPr>
        <w:t xml:space="preserve">s </w:t>
      </w:r>
      <w:r w:rsidR="00E05D8C">
        <w:rPr>
          <w:rFonts w:ascii="Arial" w:hAnsi="Arial" w:cs="Arial"/>
        </w:rPr>
        <w:t>informações</w:t>
      </w:r>
      <w:r w:rsidRPr="0023216F">
        <w:rPr>
          <w:rFonts w:ascii="Arial" w:hAnsi="Arial" w:cs="Arial"/>
        </w:rPr>
        <w:t xml:space="preserve"> necessári</w:t>
      </w:r>
      <w:r w:rsidR="00E05D8C">
        <w:rPr>
          <w:rFonts w:ascii="Arial" w:hAnsi="Arial" w:cs="Arial"/>
        </w:rPr>
        <w:t>a</w:t>
      </w:r>
      <w:r w:rsidRPr="0023216F">
        <w:rPr>
          <w:rFonts w:ascii="Arial" w:hAnsi="Arial" w:cs="Arial"/>
        </w:rPr>
        <w:t xml:space="preserve">s. </w:t>
      </w:r>
    </w:p>
    <w:p w:rsidR="006D35CC" w:rsidRDefault="006D35CC"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1</w:t>
      </w:r>
      <w:r w:rsidRPr="0023216F">
        <w:rPr>
          <w:rFonts w:ascii="Arial" w:hAnsi="Arial" w:cs="Arial"/>
        </w:rPr>
        <w:t xml:space="preserve">.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2</w:t>
      </w:r>
      <w:r w:rsidRPr="0023216F">
        <w:rPr>
          <w:rFonts w:ascii="Arial" w:hAnsi="Arial" w:cs="Arial"/>
        </w:rPr>
        <w:t xml:space="preserve">.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3</w:t>
      </w:r>
      <w:r w:rsidRPr="0023216F">
        <w:rPr>
          <w:rFonts w:ascii="Arial" w:hAnsi="Arial" w:cs="Arial"/>
        </w:rPr>
        <w:t xml:space="preserve">.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16.2</w:t>
      </w:r>
      <w:r w:rsidR="006D35CC">
        <w:rPr>
          <w:rFonts w:ascii="Arial" w:hAnsi="Arial" w:cs="Arial"/>
        </w:rPr>
        <w:t>4</w:t>
      </w:r>
      <w:r w:rsidRPr="0023216F">
        <w:rPr>
          <w:rFonts w:ascii="Arial" w:hAnsi="Arial" w:cs="Arial"/>
        </w:rPr>
        <w:t xml:space="preserve">.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5</w:t>
      </w:r>
      <w:r w:rsidRPr="0023216F">
        <w:rPr>
          <w:rFonts w:ascii="Arial" w:hAnsi="Arial" w:cs="Arial"/>
        </w:rPr>
        <w:t xml:space="preserve">.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w:t>
      </w:r>
      <w:r w:rsidR="00DF6838">
        <w:rPr>
          <w:rFonts w:ascii="Arial" w:hAnsi="Arial" w:cs="Arial"/>
          <w:lang w:eastAsia="ar-SA"/>
        </w:rPr>
        <w:lastRenderedPageBreak/>
        <w:t>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DF6175">
        <w:rPr>
          <w:rFonts w:ascii="Arial" w:eastAsia="Times New Roman" w:hAnsi="Arial" w:cs="Arial"/>
        </w:rPr>
        <w:t xml:space="preserve"> </w:t>
      </w:r>
      <w:proofErr w:type="gramEnd"/>
      <w:r w:rsidR="00DF6175">
        <w:rPr>
          <w:rFonts w:ascii="Arial" w:eastAsia="Times New Roman" w:hAnsi="Arial" w:cs="Arial"/>
        </w:rPr>
        <w:t xml:space="preserve">21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DF6175">
        <w:rPr>
          <w:rFonts w:ascii="Arial" w:eastAsia="Times New Roman" w:hAnsi="Arial" w:cs="Arial"/>
        </w:rPr>
        <w:t xml:space="preserve">novembro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C9781D" w:rsidRDefault="00C9781D"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C9781D" w:rsidRDefault="00C9781D"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186FA9" w:rsidRDefault="00186FA9" w:rsidP="008A2FC6">
      <w:pPr>
        <w:ind w:right="-568"/>
        <w:jc w:val="both"/>
        <w:rPr>
          <w:rFonts w:ascii="Arial" w:hAnsi="Arial" w:cs="Arial"/>
        </w:rPr>
      </w:pPr>
    </w:p>
    <w:p w:rsidR="00186FA9" w:rsidRDefault="00186FA9" w:rsidP="008A2FC6">
      <w:pPr>
        <w:ind w:right="-568"/>
        <w:jc w:val="both"/>
        <w:rPr>
          <w:rFonts w:ascii="Arial" w:hAnsi="Arial" w:cs="Arial"/>
        </w:rPr>
      </w:pPr>
    </w:p>
    <w:p w:rsidR="00186FA9" w:rsidRDefault="00186FA9" w:rsidP="008A2FC6">
      <w:pPr>
        <w:ind w:right="-568"/>
        <w:jc w:val="both"/>
        <w:rPr>
          <w:rFonts w:ascii="Arial" w:hAnsi="Arial" w:cs="Arial"/>
        </w:rPr>
      </w:pPr>
    </w:p>
    <w:p w:rsidR="00373D8C" w:rsidRDefault="00373D8C" w:rsidP="008A2FC6">
      <w:pPr>
        <w:ind w:right="-568"/>
        <w:jc w:val="both"/>
        <w:rPr>
          <w:rFonts w:ascii="Arial" w:hAnsi="Arial" w:cs="Arial"/>
        </w:rPr>
      </w:pPr>
    </w:p>
    <w:p w:rsidR="007A6C56" w:rsidRDefault="007A6C56"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8A0195">
        <w:rPr>
          <w:rFonts w:ascii="Arial" w:eastAsia="Times New Roman" w:hAnsi="Arial" w:cs="Arial"/>
          <w:lang w:eastAsia="ar-SA"/>
        </w:rPr>
        <w:t xml:space="preserve"> </w:t>
      </w:r>
      <w:r w:rsidR="007A53BF">
        <w:rPr>
          <w:rFonts w:ascii="Arial" w:eastAsia="Times New Roman" w:hAnsi="Arial" w:cs="Arial"/>
          <w:lang w:eastAsia="ar-SA"/>
        </w:rPr>
        <w:t>07</w:t>
      </w:r>
      <w:r w:rsidRPr="00B5684B">
        <w:rPr>
          <w:rFonts w:ascii="Arial" w:eastAsia="Times New Roman" w:hAnsi="Arial" w:cs="Arial"/>
          <w:lang w:eastAsia="ar-SA"/>
        </w:rPr>
        <w:t xml:space="preserve"> /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852DC1">
        <w:rPr>
          <w:rFonts w:ascii="Arial" w:eastAsia="Times New Roman" w:hAnsi="Arial" w:cs="Arial"/>
          <w:bCs/>
          <w:lang w:eastAsia="ar-SA"/>
        </w:rPr>
        <w:t>33180</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B2A9B">
        <w:rPr>
          <w:rFonts w:ascii="Arial" w:hAnsi="Arial" w:cs="Arial"/>
        </w:rPr>
        <w:t xml:space="preserve">Contratação de </w:t>
      </w:r>
      <w:r w:rsidR="00DB2A9B" w:rsidRPr="002C44B5">
        <w:rPr>
          <w:rFonts w:ascii="Arial" w:hAnsi="Arial" w:cs="Arial"/>
          <w:bCs/>
        </w:rPr>
        <w:t xml:space="preserve">empresa </w:t>
      </w:r>
      <w:r w:rsidR="00DB2A9B" w:rsidRPr="00342C01">
        <w:rPr>
          <w:rFonts w:ascii="Arial" w:hAnsi="Arial" w:cs="Arial"/>
          <w:bCs/>
        </w:rPr>
        <w:t xml:space="preserve">para </w:t>
      </w:r>
      <w:r w:rsidR="00DB2A9B">
        <w:rPr>
          <w:rFonts w:ascii="Arial" w:hAnsi="Arial" w:cs="Arial"/>
          <w:bCs/>
        </w:rPr>
        <w:t>canalização do córrego da Rua Alvorada</w:t>
      </w:r>
      <w:r w:rsidR="00DB2A9B">
        <w:rPr>
          <w:rFonts w:ascii="Arial" w:hAnsi="Arial" w:cs="Arial"/>
          <w:color w:val="000000"/>
        </w:rPr>
        <w:t xml:space="preserve"> </w:t>
      </w:r>
      <w:r w:rsidR="00612C4C">
        <w:rPr>
          <w:rFonts w:ascii="Arial" w:hAnsi="Arial" w:cs="Arial"/>
          <w:color w:val="000000"/>
        </w:rPr>
        <w:t>n</w:t>
      </w:r>
      <w:r w:rsidR="00D557EB">
        <w:rPr>
          <w:rFonts w:ascii="Arial" w:hAnsi="Arial" w:cs="Arial"/>
          <w:color w:val="000000"/>
        </w:rPr>
        <w:t>o</w:t>
      </w:r>
      <w:r w:rsidR="00612C4C">
        <w:rPr>
          <w:rFonts w:ascii="Arial" w:hAnsi="Arial" w:cs="Arial"/>
          <w:color w:val="000000"/>
        </w:rPr>
        <w:t xml:space="preserve"> município</w:t>
      </w:r>
      <w:r w:rsidR="00D557EB">
        <w:rPr>
          <w:rFonts w:ascii="Arial" w:hAnsi="Arial" w:cs="Arial"/>
          <w:color w:val="000000"/>
        </w:rPr>
        <w:t xml:space="preserve"> de Carapicuíba</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914BEA">
        <w:rPr>
          <w:rFonts w:ascii="Arial" w:eastAsia="Times New Roman" w:hAnsi="Arial" w:cs="Arial"/>
          <w:color w:val="000000"/>
          <w:lang w:eastAsia="ar-SA"/>
        </w:rPr>
        <w:t>12</w:t>
      </w:r>
      <w:r w:rsidRPr="00B5684B">
        <w:rPr>
          <w:rFonts w:ascii="Arial" w:eastAsia="Times New Roman" w:hAnsi="Arial" w:cs="Arial"/>
          <w:color w:val="000000"/>
          <w:lang w:eastAsia="ar-SA"/>
        </w:rPr>
        <w:t xml:space="preserve"> (</w:t>
      </w:r>
      <w:r w:rsidR="00914BEA">
        <w:rPr>
          <w:rFonts w:ascii="Arial" w:eastAsia="Times New Roman" w:hAnsi="Arial" w:cs="Arial"/>
          <w:color w:val="000000"/>
          <w:lang w:eastAsia="ar-SA"/>
        </w:rPr>
        <w:t>doze</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791FB2" w:rsidRDefault="00791FB2" w:rsidP="004D1B57">
      <w:pPr>
        <w:suppressAutoHyphens/>
        <w:spacing w:after="120"/>
        <w:ind w:left="284"/>
        <w:jc w:val="both"/>
        <w:rPr>
          <w:rFonts w:ascii="Arial" w:eastAsia="Times New Roman" w:hAnsi="Arial" w:cs="Arial"/>
          <w:b/>
          <w:lang w:eastAsia="ar-SA"/>
        </w:rPr>
      </w:pP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4C47B9">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FC509D">
        <w:rPr>
          <w:rFonts w:ascii="Arial" w:eastAsia="Times New Roman" w:hAnsi="Arial" w:cs="Arial"/>
          <w:bCs/>
          <w:lang w:eastAsia="ar-SA"/>
        </w:rPr>
        <w:t>07</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23E0A">
        <w:rPr>
          <w:rFonts w:ascii="Arial" w:eastAsia="Times New Roman" w:hAnsi="Arial" w:cs="Arial"/>
          <w:bCs/>
          <w:lang w:eastAsia="ar-SA"/>
        </w:rPr>
        <w:t>33180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770CD5" w:rsidRDefault="008A36FE" w:rsidP="00770CD5">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384EDC">
        <w:rPr>
          <w:rFonts w:ascii="Arial" w:hAnsi="Arial" w:cs="Arial"/>
        </w:rPr>
        <w:t xml:space="preserve">Contratação de </w:t>
      </w:r>
      <w:r w:rsidR="00384EDC" w:rsidRPr="002C44B5">
        <w:rPr>
          <w:rFonts w:ascii="Arial" w:hAnsi="Arial" w:cs="Arial"/>
          <w:bCs/>
        </w:rPr>
        <w:t xml:space="preserve">empresa </w:t>
      </w:r>
      <w:r w:rsidR="00384EDC" w:rsidRPr="00342C01">
        <w:rPr>
          <w:rFonts w:ascii="Arial" w:hAnsi="Arial" w:cs="Arial"/>
          <w:bCs/>
        </w:rPr>
        <w:t xml:space="preserve">para </w:t>
      </w:r>
      <w:r w:rsidR="00384EDC">
        <w:rPr>
          <w:rFonts w:ascii="Arial" w:hAnsi="Arial" w:cs="Arial"/>
          <w:bCs/>
        </w:rPr>
        <w:t>canalização do córrego da Rua Alvorada</w:t>
      </w:r>
      <w:r w:rsidR="00384EDC">
        <w:rPr>
          <w:rFonts w:ascii="Arial" w:hAnsi="Arial" w:cs="Arial"/>
          <w:color w:val="000000"/>
        </w:rPr>
        <w:t xml:space="preserve"> no município de Carapicuíba</w:t>
      </w:r>
      <w:r w:rsidR="00770CD5">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935E6C">
        <w:rPr>
          <w:rFonts w:ascii="Arial" w:eastAsia="Times New Roman" w:hAnsi="Arial" w:cs="Arial"/>
          <w:lang w:eastAsia="ar-SA"/>
        </w:rPr>
        <w:t>07</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E7F52">
        <w:rPr>
          <w:rFonts w:ascii="Arial" w:eastAsia="Times New Roman" w:hAnsi="Arial" w:cs="Arial"/>
          <w:bCs/>
          <w:lang w:eastAsia="ar-SA"/>
        </w:rPr>
        <w:t>33180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3C6AEF" w:rsidRDefault="00B5684B" w:rsidP="003C6AEF">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BB4DA5">
        <w:rPr>
          <w:rFonts w:ascii="Arial" w:hAnsi="Arial" w:cs="Arial"/>
        </w:rPr>
        <w:t xml:space="preserve">Contratação de </w:t>
      </w:r>
      <w:r w:rsidR="00BB4DA5" w:rsidRPr="002C44B5">
        <w:rPr>
          <w:rFonts w:ascii="Arial" w:hAnsi="Arial" w:cs="Arial"/>
          <w:bCs/>
        </w:rPr>
        <w:t xml:space="preserve">empresa </w:t>
      </w:r>
      <w:r w:rsidR="00BB4DA5" w:rsidRPr="00342C01">
        <w:rPr>
          <w:rFonts w:ascii="Arial" w:hAnsi="Arial" w:cs="Arial"/>
          <w:bCs/>
        </w:rPr>
        <w:t xml:space="preserve">para </w:t>
      </w:r>
      <w:r w:rsidR="00BB4DA5">
        <w:rPr>
          <w:rFonts w:ascii="Arial" w:hAnsi="Arial" w:cs="Arial"/>
          <w:bCs/>
        </w:rPr>
        <w:t>canalização do córrego da Rua Alvorada</w:t>
      </w:r>
      <w:r w:rsidR="00BB4DA5">
        <w:rPr>
          <w:rFonts w:ascii="Arial" w:hAnsi="Arial" w:cs="Arial"/>
          <w:color w:val="000000"/>
        </w:rPr>
        <w:t xml:space="preserve"> no município de Carapicuíba</w:t>
      </w:r>
      <w:r w:rsidR="003C6AEF">
        <w:rPr>
          <w:rFonts w:ascii="Arial" w:hAnsi="Arial" w:cs="Arial"/>
          <w:bCs/>
        </w:rPr>
        <w:t>.</w:t>
      </w:r>
    </w:p>
    <w:p w:rsidR="00184A62" w:rsidRDefault="00184A62" w:rsidP="00184A62">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8E4F0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CE6D42" w:rsidP="008A36FE">
      <w:pPr>
        <w:suppressAutoHyphens/>
        <w:spacing w:after="120"/>
        <w:ind w:left="284" w:right="227"/>
        <w:jc w:val="both"/>
        <w:rPr>
          <w:rFonts w:ascii="Arial" w:eastAsia="Times New Roman" w:hAnsi="Arial" w:cs="Arial"/>
          <w:lang w:eastAsia="ar-SA"/>
        </w:rPr>
      </w:pPr>
      <w:r>
        <w:rPr>
          <w:rFonts w:ascii="Arial" w:eastAsia="Times New Roman" w:hAnsi="Arial" w:cs="Arial"/>
          <w:lang w:eastAsia="ar-SA"/>
        </w:rPr>
        <w:t>Obs. Para as empresas reunidas em consórcio a visita técnica poderá ser realizada apenas por uma das consorciadas.</w:t>
      </w: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F30BF3" w:rsidRDefault="00F30BF3" w:rsidP="000356E3">
      <w:pPr>
        <w:suppressAutoHyphens/>
        <w:spacing w:after="120"/>
        <w:ind w:left="284" w:right="227"/>
        <w:jc w:val="center"/>
        <w:rPr>
          <w:rFonts w:ascii="Arial" w:eastAsia="Times New Roman" w:hAnsi="Arial" w:cs="Arial"/>
          <w:b/>
          <w:sz w:val="36"/>
          <w:szCs w:val="36"/>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737710">
        <w:rPr>
          <w:rFonts w:ascii="Arial" w:eastAsia="Times New Roman" w:hAnsi="Arial" w:cs="Times New Roman"/>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95658B">
        <w:rPr>
          <w:rFonts w:ascii="Arial" w:eastAsia="Times New Roman" w:hAnsi="Arial" w:cs="Arial"/>
          <w:b/>
          <w:lang w:eastAsia="ar-SA"/>
        </w:rPr>
        <w:t>07</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Sr.</w:t>
      </w:r>
      <w:proofErr w:type="gramEnd"/>
      <w:r w:rsidRPr="000356E3">
        <w:rPr>
          <w:rFonts w:ascii="Arial" w:eastAsia="Times New Roman" w:hAnsi="Arial" w:cs="Arial"/>
          <w:lang w:eastAsia="ar-SA"/>
        </w:rPr>
        <w:t xml:space="preserve">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01DD3">
        <w:rPr>
          <w:rFonts w:ascii="Arial" w:hAnsi="Arial" w:cs="Arial"/>
          <w:bCs/>
        </w:rPr>
        <w:t>canalização do córrego da Rua Alvorada</w:t>
      </w:r>
      <w:r w:rsidR="002F6378">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4070AF" w:rsidP="004070AF">
      <w:pPr>
        <w:tabs>
          <w:tab w:val="left" w:pos="7800"/>
        </w:tabs>
        <w:suppressAutoHyphens/>
        <w:jc w:val="both"/>
        <w:rPr>
          <w:rFonts w:ascii="Arial" w:eastAsia="Times New Roman" w:hAnsi="Arial" w:cs="Arial"/>
          <w:lang w:eastAsia="ar-SA"/>
        </w:rPr>
      </w:pPr>
      <w:r>
        <w:rPr>
          <w:rFonts w:ascii="Arial" w:eastAsia="Times New Roman" w:hAnsi="Arial" w:cs="Arial"/>
          <w:lang w:eastAsia="ar-SA"/>
        </w:rPr>
        <w:tab/>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F10503">
        <w:rPr>
          <w:rFonts w:ascii="Arial" w:eastAsia="Times New Roman" w:hAnsi="Arial" w:cs="Arial"/>
          <w:color w:val="000000"/>
          <w:lang w:eastAsia="ar-SA"/>
        </w:rPr>
        <w:t>12</w:t>
      </w:r>
      <w:r w:rsidRPr="000356E3">
        <w:rPr>
          <w:rFonts w:ascii="Arial" w:eastAsia="Times New Roman" w:hAnsi="Arial" w:cs="Arial"/>
          <w:color w:val="000000"/>
          <w:lang w:eastAsia="ar-SA"/>
        </w:rPr>
        <w:t xml:space="preserve"> (</w:t>
      </w:r>
      <w:r w:rsidR="00F10503">
        <w:rPr>
          <w:rFonts w:ascii="Arial" w:eastAsia="Times New Roman" w:hAnsi="Arial" w:cs="Arial"/>
          <w:color w:val="000000"/>
          <w:lang w:eastAsia="ar-SA"/>
        </w:rPr>
        <w:t>doze</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B33272">
        <w:rPr>
          <w:rFonts w:ascii="Arial" w:eastAsia="Times New Roman" w:hAnsi="Arial" w:cs="Arial"/>
          <w:lang w:eastAsia="ar-SA"/>
        </w:rPr>
        <w:t xml:space="preserve">Projetos </w:t>
      </w:r>
      <w:r w:rsidR="00B33272">
        <w:rPr>
          <w:rFonts w:ascii="Arial" w:eastAsia="Times New Roman" w:hAnsi="Arial" w:cs="Arial"/>
          <w:lang w:eastAsia="ar-SA"/>
        </w:rPr>
        <w:lastRenderedPageBreak/>
        <w:t>Especiais, Convênios e Habitação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6D054F"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proofErr w:type="gramStart"/>
      <w:r w:rsidRPr="000356E3">
        <w:rPr>
          <w:rFonts w:ascii="Arial" w:eastAsia="Times New Roman" w:hAnsi="Arial" w:cs="Arial"/>
          <w:lang w:eastAsia="ar-SA"/>
        </w:rPr>
        <w:t xml:space="preserve"> </w:t>
      </w:r>
      <w:r w:rsidRPr="000356E3">
        <w:rPr>
          <w:rFonts w:ascii="Arial" w:eastAsia="Times New Roman" w:hAnsi="Arial" w:cs="Arial"/>
          <w:color w:val="0000FF"/>
          <w:lang w:eastAsia="ar-SA"/>
        </w:rPr>
        <w:t xml:space="preserve"> </w:t>
      </w:r>
      <w:proofErr w:type="gramEnd"/>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e empresa contratada).</w:t>
      </w:r>
    </w:p>
    <w:p w:rsidR="00016A78" w:rsidRDefault="00016A78"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DE7107">
        <w:rPr>
          <w:rFonts w:ascii="Arial" w:eastAsia="Times New Roman" w:hAnsi="Arial" w:cs="Arial"/>
          <w:lang w:eastAsia="ar-SA"/>
        </w:rPr>
        <w:t>Projetos Especiais, Convênios e Habitação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16A78" w:rsidRDefault="00016A78"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365939">
        <w:rPr>
          <w:rFonts w:ascii="Arial" w:eastAsia="Times New Roman" w:hAnsi="Arial" w:cs="Arial"/>
          <w:lang w:eastAsia="ar-SA"/>
        </w:rPr>
        <w:t>Projetos Especiais, Convênios e Habitação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w:t>
      </w:r>
      <w:r w:rsidR="00E677F4">
        <w:rPr>
          <w:rFonts w:ascii="Arial" w:eastAsia="Times New Roman" w:hAnsi="Arial" w:cs="Arial"/>
          <w:lang w:eastAsia="ar-SA"/>
        </w:rPr>
        <w:t xml:space="preserve"> contrato correrão por conta da </w:t>
      </w:r>
      <w:r w:rsidRPr="000356E3">
        <w:rPr>
          <w:rFonts w:ascii="Arial" w:eastAsia="Times New Roman" w:hAnsi="Arial" w:cs="Arial"/>
          <w:lang w:eastAsia="ar-SA"/>
        </w:rPr>
        <w:t>dotaç</w:t>
      </w:r>
      <w:r w:rsidR="002D5FD5">
        <w:rPr>
          <w:rFonts w:ascii="Arial" w:eastAsia="Times New Roman" w:hAnsi="Arial" w:cs="Arial"/>
          <w:lang w:eastAsia="ar-SA"/>
        </w:rPr>
        <w:t>ão</w:t>
      </w:r>
      <w:r w:rsidRPr="000356E3">
        <w:rPr>
          <w:rFonts w:ascii="Arial" w:eastAsia="Times New Roman" w:hAnsi="Arial" w:cs="Arial"/>
          <w:lang w:eastAsia="ar-SA"/>
        </w:rPr>
        <w:t xml:space="preserve"> orçamentária</w:t>
      </w:r>
      <w:r w:rsidR="00FD51C1">
        <w:rPr>
          <w:rFonts w:ascii="Arial" w:eastAsia="Times New Roman" w:hAnsi="Arial" w:cs="Arial"/>
          <w:lang w:eastAsia="ar-SA"/>
        </w:rPr>
        <w:t xml:space="preserve"> de nº</w:t>
      </w:r>
      <w:r w:rsidR="00E824C6" w:rsidRPr="000356E3">
        <w:rPr>
          <w:rFonts w:ascii="Arial" w:eastAsia="Times New Roman" w:hAnsi="Arial" w:cs="Arial"/>
          <w:lang w:eastAsia="ar-SA"/>
        </w:rPr>
        <w:t xml:space="preserve"> </w:t>
      </w:r>
      <w:r w:rsidR="006D5D12">
        <w:rPr>
          <w:rFonts w:ascii="Arial" w:hAnsi="Arial" w:cs="Arial"/>
        </w:rPr>
        <w:t>21.01.15.451.0006.4.4.90.51-99 (tesouro).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882702">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A74A04" w:rsidRPr="00A74A04" w:rsidRDefault="0063146F" w:rsidP="00390B2F">
      <w:pPr>
        <w:ind w:right="-710"/>
        <w:jc w:val="both"/>
        <w:rPr>
          <w:rFonts w:ascii="Arial" w:hAnsi="Arial" w:cs="Arial"/>
          <w:b/>
          <w:bCs/>
          <w:sz w:val="22"/>
          <w:szCs w:val="2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A74A04" w:rsidRPr="00A74A04">
        <w:rPr>
          <w:rFonts w:ascii="Arial" w:hAnsi="Arial" w:cs="Arial"/>
          <w:b/>
          <w:bCs/>
          <w:sz w:val="22"/>
          <w:szCs w:val="22"/>
        </w:rPr>
        <w:t xml:space="preserve">CONTRATAÇÃO DE EMPRESA PARA </w:t>
      </w:r>
      <w:r w:rsidR="00B23394" w:rsidRPr="00B23394">
        <w:rPr>
          <w:rFonts w:ascii="Arial" w:hAnsi="Arial" w:cs="Arial"/>
          <w:b/>
          <w:bCs/>
          <w:sz w:val="22"/>
          <w:szCs w:val="22"/>
        </w:rPr>
        <w:t>CANALIZAÇÃO DO CÓRREGO DA RUA ALVORADA NESTE MUNICÍPIO</w:t>
      </w:r>
      <w:r w:rsidR="00A74A04" w:rsidRPr="00A74A04">
        <w:rPr>
          <w:rFonts w:ascii="Arial" w:hAnsi="Arial" w:cs="Arial"/>
          <w:b/>
          <w:bCs/>
          <w:sz w:val="22"/>
          <w:szCs w:val="22"/>
        </w:rPr>
        <w:t>.</w:t>
      </w: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3"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0A9" w:rsidRDefault="005320A9" w:rsidP="00937643">
      <w:r>
        <w:separator/>
      </w:r>
    </w:p>
  </w:endnote>
  <w:endnote w:type="continuationSeparator" w:id="0">
    <w:p w:rsidR="005320A9" w:rsidRDefault="005320A9"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3649D3" w:rsidRDefault="003649D3">
        <w:pPr>
          <w:pStyle w:val="Rodap"/>
          <w:jc w:val="right"/>
        </w:pPr>
        <w:r>
          <w:fldChar w:fldCharType="begin"/>
        </w:r>
        <w:r>
          <w:instrText>PAGE   \* MERGEFORMAT</w:instrText>
        </w:r>
        <w:r>
          <w:fldChar w:fldCharType="separate"/>
        </w:r>
        <w:r w:rsidR="009B2E66">
          <w:rPr>
            <w:noProof/>
          </w:rPr>
          <w:t>2</w:t>
        </w:r>
        <w:r>
          <w:fldChar w:fldCharType="end"/>
        </w:r>
      </w:p>
    </w:sdtContent>
  </w:sdt>
  <w:p w:rsidR="003649D3" w:rsidRPr="00242C0E" w:rsidRDefault="003649D3"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C612A1">
      <w:rPr>
        <w:rFonts w:ascii="Times New Roman" w:eastAsia="Times New Roman" w:hAnsi="Times New Roman" w:cs="Times New Roman"/>
        <w:sz w:val="20"/>
        <w:szCs w:val="20"/>
        <w:lang w:eastAsia="ar-SA"/>
      </w:rPr>
      <w:t>33180</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C0783E">
      <w:rPr>
        <w:rFonts w:ascii="Times New Roman" w:eastAsia="Times New Roman" w:hAnsi="Times New Roman" w:cs="Times New Roman"/>
        <w:sz w:val="20"/>
        <w:szCs w:val="20"/>
        <w:lang w:eastAsia="ar-SA"/>
      </w:rPr>
      <w:t xml:space="preserve"> 07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3649D3" w:rsidRPr="00242C0E" w:rsidRDefault="003649D3" w:rsidP="00242C0E">
    <w:pPr>
      <w:tabs>
        <w:tab w:val="center" w:pos="4419"/>
        <w:tab w:val="right" w:pos="8838"/>
      </w:tabs>
      <w:suppressAutoHyphens/>
      <w:ind w:right="360"/>
      <w:rPr>
        <w:rFonts w:ascii="Arial" w:eastAsia="Times New Roman" w:hAnsi="Arial" w:cs="Arial"/>
        <w:sz w:val="16"/>
        <w:szCs w:val="16"/>
        <w:lang w:eastAsia="ar-SA"/>
      </w:rPr>
    </w:pPr>
  </w:p>
  <w:p w:rsidR="003649D3" w:rsidRDefault="003649D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0A9" w:rsidRDefault="005320A9" w:rsidP="00937643">
      <w:r>
        <w:separator/>
      </w:r>
    </w:p>
  </w:footnote>
  <w:footnote w:type="continuationSeparator" w:id="0">
    <w:p w:rsidR="005320A9" w:rsidRDefault="005320A9"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D3" w:rsidRPr="00937643" w:rsidRDefault="003649D3"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3649D3" w:rsidRDefault="003649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3804"/>
    <w:rsid w:val="0000780B"/>
    <w:rsid w:val="000106B4"/>
    <w:rsid w:val="00012ADF"/>
    <w:rsid w:val="000130FB"/>
    <w:rsid w:val="00016132"/>
    <w:rsid w:val="000168D7"/>
    <w:rsid w:val="00016A78"/>
    <w:rsid w:val="00016D94"/>
    <w:rsid w:val="00020674"/>
    <w:rsid w:val="000215EF"/>
    <w:rsid w:val="00022906"/>
    <w:rsid w:val="00025B5A"/>
    <w:rsid w:val="00026D2A"/>
    <w:rsid w:val="00026D43"/>
    <w:rsid w:val="000271A7"/>
    <w:rsid w:val="00030550"/>
    <w:rsid w:val="00030607"/>
    <w:rsid w:val="00031CF7"/>
    <w:rsid w:val="000356E3"/>
    <w:rsid w:val="00037B9E"/>
    <w:rsid w:val="0004140A"/>
    <w:rsid w:val="00042EE8"/>
    <w:rsid w:val="00043653"/>
    <w:rsid w:val="00044750"/>
    <w:rsid w:val="00044B52"/>
    <w:rsid w:val="00057DFC"/>
    <w:rsid w:val="0006649C"/>
    <w:rsid w:val="0007020D"/>
    <w:rsid w:val="000723B0"/>
    <w:rsid w:val="00073742"/>
    <w:rsid w:val="00073AAC"/>
    <w:rsid w:val="000760D7"/>
    <w:rsid w:val="000767FE"/>
    <w:rsid w:val="00076B4D"/>
    <w:rsid w:val="00077297"/>
    <w:rsid w:val="000844EC"/>
    <w:rsid w:val="000A0EE8"/>
    <w:rsid w:val="000A2565"/>
    <w:rsid w:val="000A34C0"/>
    <w:rsid w:val="000A77DB"/>
    <w:rsid w:val="000B3DDA"/>
    <w:rsid w:val="000B4D8C"/>
    <w:rsid w:val="000B62CA"/>
    <w:rsid w:val="000C43C0"/>
    <w:rsid w:val="000C44FE"/>
    <w:rsid w:val="000C7DB3"/>
    <w:rsid w:val="000D105F"/>
    <w:rsid w:val="000D1A09"/>
    <w:rsid w:val="000D371E"/>
    <w:rsid w:val="000D5C6D"/>
    <w:rsid w:val="000E4BD7"/>
    <w:rsid w:val="000F01DA"/>
    <w:rsid w:val="000F77CF"/>
    <w:rsid w:val="00102055"/>
    <w:rsid w:val="0010406C"/>
    <w:rsid w:val="001061BB"/>
    <w:rsid w:val="00111FE3"/>
    <w:rsid w:val="00115F13"/>
    <w:rsid w:val="00125FFF"/>
    <w:rsid w:val="001263CD"/>
    <w:rsid w:val="00131B21"/>
    <w:rsid w:val="001340E7"/>
    <w:rsid w:val="001402E0"/>
    <w:rsid w:val="00142D1F"/>
    <w:rsid w:val="001467D3"/>
    <w:rsid w:val="00146F0A"/>
    <w:rsid w:val="00147983"/>
    <w:rsid w:val="0015048E"/>
    <w:rsid w:val="00150FA8"/>
    <w:rsid w:val="0015308B"/>
    <w:rsid w:val="00154EAD"/>
    <w:rsid w:val="0015523C"/>
    <w:rsid w:val="00157CC2"/>
    <w:rsid w:val="00161632"/>
    <w:rsid w:val="0016268A"/>
    <w:rsid w:val="001722C9"/>
    <w:rsid w:val="00172906"/>
    <w:rsid w:val="001729E8"/>
    <w:rsid w:val="00172D05"/>
    <w:rsid w:val="001739CB"/>
    <w:rsid w:val="001746C5"/>
    <w:rsid w:val="00177FC2"/>
    <w:rsid w:val="00184A62"/>
    <w:rsid w:val="00186F5D"/>
    <w:rsid w:val="00186FA9"/>
    <w:rsid w:val="0019097F"/>
    <w:rsid w:val="001915B6"/>
    <w:rsid w:val="00193144"/>
    <w:rsid w:val="001932DC"/>
    <w:rsid w:val="0019374C"/>
    <w:rsid w:val="00193E30"/>
    <w:rsid w:val="00194F03"/>
    <w:rsid w:val="00195C29"/>
    <w:rsid w:val="00195F83"/>
    <w:rsid w:val="001A1D70"/>
    <w:rsid w:val="001A2ECE"/>
    <w:rsid w:val="001A3C27"/>
    <w:rsid w:val="001A4E41"/>
    <w:rsid w:val="001A66DA"/>
    <w:rsid w:val="001A6A3F"/>
    <w:rsid w:val="001B2ACA"/>
    <w:rsid w:val="001B2B98"/>
    <w:rsid w:val="001B6399"/>
    <w:rsid w:val="001B6FDB"/>
    <w:rsid w:val="001C2CFA"/>
    <w:rsid w:val="001C37DC"/>
    <w:rsid w:val="001C4FFB"/>
    <w:rsid w:val="001C5164"/>
    <w:rsid w:val="001C77A2"/>
    <w:rsid w:val="001D1AC4"/>
    <w:rsid w:val="001D6BE3"/>
    <w:rsid w:val="001E01B8"/>
    <w:rsid w:val="001E509A"/>
    <w:rsid w:val="001E5506"/>
    <w:rsid w:val="001F1E47"/>
    <w:rsid w:val="001F3219"/>
    <w:rsid w:val="001F4DF1"/>
    <w:rsid w:val="001F71A9"/>
    <w:rsid w:val="00200D11"/>
    <w:rsid w:val="0020182B"/>
    <w:rsid w:val="00202099"/>
    <w:rsid w:val="00202618"/>
    <w:rsid w:val="002031CD"/>
    <w:rsid w:val="002063ED"/>
    <w:rsid w:val="00206BB7"/>
    <w:rsid w:val="00211638"/>
    <w:rsid w:val="00215C30"/>
    <w:rsid w:val="0021661B"/>
    <w:rsid w:val="00217222"/>
    <w:rsid w:val="0021798C"/>
    <w:rsid w:val="002215F3"/>
    <w:rsid w:val="0022160E"/>
    <w:rsid w:val="00226D07"/>
    <w:rsid w:val="0023216F"/>
    <w:rsid w:val="00236A00"/>
    <w:rsid w:val="00237598"/>
    <w:rsid w:val="0024003E"/>
    <w:rsid w:val="0024120A"/>
    <w:rsid w:val="00242C0E"/>
    <w:rsid w:val="002453E4"/>
    <w:rsid w:val="002463BE"/>
    <w:rsid w:val="002474BE"/>
    <w:rsid w:val="00247F17"/>
    <w:rsid w:val="002500AE"/>
    <w:rsid w:val="00251CB1"/>
    <w:rsid w:val="002536B5"/>
    <w:rsid w:val="0026545E"/>
    <w:rsid w:val="0027024A"/>
    <w:rsid w:val="00276815"/>
    <w:rsid w:val="00276E71"/>
    <w:rsid w:val="00280E7D"/>
    <w:rsid w:val="00282A15"/>
    <w:rsid w:val="00284FDC"/>
    <w:rsid w:val="00286419"/>
    <w:rsid w:val="0028737B"/>
    <w:rsid w:val="002913EE"/>
    <w:rsid w:val="00292AD5"/>
    <w:rsid w:val="00293086"/>
    <w:rsid w:val="002A17CC"/>
    <w:rsid w:val="002A57A8"/>
    <w:rsid w:val="002B13A1"/>
    <w:rsid w:val="002B234D"/>
    <w:rsid w:val="002B3F85"/>
    <w:rsid w:val="002B45FD"/>
    <w:rsid w:val="002B660F"/>
    <w:rsid w:val="002B66F5"/>
    <w:rsid w:val="002B6733"/>
    <w:rsid w:val="002B78E9"/>
    <w:rsid w:val="002C1324"/>
    <w:rsid w:val="002C44B5"/>
    <w:rsid w:val="002D1A8D"/>
    <w:rsid w:val="002D5FD5"/>
    <w:rsid w:val="002D7515"/>
    <w:rsid w:val="002E0CD7"/>
    <w:rsid w:val="002E2210"/>
    <w:rsid w:val="002E561B"/>
    <w:rsid w:val="002E7B75"/>
    <w:rsid w:val="002E7F52"/>
    <w:rsid w:val="002F4DB9"/>
    <w:rsid w:val="002F6378"/>
    <w:rsid w:val="00300090"/>
    <w:rsid w:val="003013BF"/>
    <w:rsid w:val="00302941"/>
    <w:rsid w:val="00304755"/>
    <w:rsid w:val="003067B0"/>
    <w:rsid w:val="00311550"/>
    <w:rsid w:val="00313A15"/>
    <w:rsid w:val="00341C60"/>
    <w:rsid w:val="00342C01"/>
    <w:rsid w:val="0035296F"/>
    <w:rsid w:val="003579F0"/>
    <w:rsid w:val="0036168A"/>
    <w:rsid w:val="00361FB6"/>
    <w:rsid w:val="0036226B"/>
    <w:rsid w:val="00362CCF"/>
    <w:rsid w:val="00364751"/>
    <w:rsid w:val="003649D3"/>
    <w:rsid w:val="00364C05"/>
    <w:rsid w:val="00365939"/>
    <w:rsid w:val="00367D5B"/>
    <w:rsid w:val="003700EF"/>
    <w:rsid w:val="0037059D"/>
    <w:rsid w:val="00373D8C"/>
    <w:rsid w:val="00377F5A"/>
    <w:rsid w:val="00382CDC"/>
    <w:rsid w:val="00383A83"/>
    <w:rsid w:val="00384A4B"/>
    <w:rsid w:val="00384EDC"/>
    <w:rsid w:val="003864E0"/>
    <w:rsid w:val="00386A89"/>
    <w:rsid w:val="00390B2F"/>
    <w:rsid w:val="003952BF"/>
    <w:rsid w:val="00395EC7"/>
    <w:rsid w:val="00397B5A"/>
    <w:rsid w:val="003A0521"/>
    <w:rsid w:val="003A2704"/>
    <w:rsid w:val="003B0693"/>
    <w:rsid w:val="003B570D"/>
    <w:rsid w:val="003B619E"/>
    <w:rsid w:val="003B66A8"/>
    <w:rsid w:val="003B7DB2"/>
    <w:rsid w:val="003C10AE"/>
    <w:rsid w:val="003C33B5"/>
    <w:rsid w:val="003C5C4C"/>
    <w:rsid w:val="003C6AEF"/>
    <w:rsid w:val="003C753C"/>
    <w:rsid w:val="003D1CFA"/>
    <w:rsid w:val="003E5E05"/>
    <w:rsid w:val="003E6628"/>
    <w:rsid w:val="003E6C02"/>
    <w:rsid w:val="003E6DD9"/>
    <w:rsid w:val="003F4D49"/>
    <w:rsid w:val="004038AD"/>
    <w:rsid w:val="00405649"/>
    <w:rsid w:val="004070AF"/>
    <w:rsid w:val="00411629"/>
    <w:rsid w:val="004125E9"/>
    <w:rsid w:val="00415FF1"/>
    <w:rsid w:val="004167D7"/>
    <w:rsid w:val="004214A5"/>
    <w:rsid w:val="0042439F"/>
    <w:rsid w:val="004349F4"/>
    <w:rsid w:val="00435168"/>
    <w:rsid w:val="004375E4"/>
    <w:rsid w:val="004417DA"/>
    <w:rsid w:val="00442304"/>
    <w:rsid w:val="00444441"/>
    <w:rsid w:val="00462AF3"/>
    <w:rsid w:val="0048208D"/>
    <w:rsid w:val="004825C8"/>
    <w:rsid w:val="00482A14"/>
    <w:rsid w:val="00482D88"/>
    <w:rsid w:val="00482F83"/>
    <w:rsid w:val="00483908"/>
    <w:rsid w:val="00483C60"/>
    <w:rsid w:val="00485057"/>
    <w:rsid w:val="00490EDB"/>
    <w:rsid w:val="00491917"/>
    <w:rsid w:val="00492DC2"/>
    <w:rsid w:val="0049420B"/>
    <w:rsid w:val="004A154D"/>
    <w:rsid w:val="004A2E56"/>
    <w:rsid w:val="004A59D2"/>
    <w:rsid w:val="004B1603"/>
    <w:rsid w:val="004B1B6D"/>
    <w:rsid w:val="004B2B7E"/>
    <w:rsid w:val="004B4F00"/>
    <w:rsid w:val="004C18DB"/>
    <w:rsid w:val="004C3D07"/>
    <w:rsid w:val="004C432D"/>
    <w:rsid w:val="004C47B9"/>
    <w:rsid w:val="004C55C4"/>
    <w:rsid w:val="004C7079"/>
    <w:rsid w:val="004D1B57"/>
    <w:rsid w:val="004D2CED"/>
    <w:rsid w:val="004D3F7D"/>
    <w:rsid w:val="004D50DD"/>
    <w:rsid w:val="004D6CD7"/>
    <w:rsid w:val="004E0861"/>
    <w:rsid w:val="004E130E"/>
    <w:rsid w:val="004E7E9A"/>
    <w:rsid w:val="004F0A6D"/>
    <w:rsid w:val="004F25BE"/>
    <w:rsid w:val="004F5595"/>
    <w:rsid w:val="004F5DB9"/>
    <w:rsid w:val="00500504"/>
    <w:rsid w:val="005019D8"/>
    <w:rsid w:val="0050403D"/>
    <w:rsid w:val="00510550"/>
    <w:rsid w:val="00512AF0"/>
    <w:rsid w:val="0051603C"/>
    <w:rsid w:val="0051607E"/>
    <w:rsid w:val="00523917"/>
    <w:rsid w:val="00524E21"/>
    <w:rsid w:val="005250C0"/>
    <w:rsid w:val="00526D04"/>
    <w:rsid w:val="005320A9"/>
    <w:rsid w:val="005351C1"/>
    <w:rsid w:val="005411F2"/>
    <w:rsid w:val="005425EF"/>
    <w:rsid w:val="0054333F"/>
    <w:rsid w:val="00543D18"/>
    <w:rsid w:val="0054436B"/>
    <w:rsid w:val="005507B6"/>
    <w:rsid w:val="005571D7"/>
    <w:rsid w:val="00557804"/>
    <w:rsid w:val="00560053"/>
    <w:rsid w:val="00562EE7"/>
    <w:rsid w:val="005647AB"/>
    <w:rsid w:val="0057138F"/>
    <w:rsid w:val="005722C9"/>
    <w:rsid w:val="0057367D"/>
    <w:rsid w:val="00574965"/>
    <w:rsid w:val="0058251B"/>
    <w:rsid w:val="0058502C"/>
    <w:rsid w:val="0059122D"/>
    <w:rsid w:val="00592EBB"/>
    <w:rsid w:val="0059740B"/>
    <w:rsid w:val="005A1F47"/>
    <w:rsid w:val="005A3B65"/>
    <w:rsid w:val="005B2025"/>
    <w:rsid w:val="005B4E72"/>
    <w:rsid w:val="005B50F0"/>
    <w:rsid w:val="005B5C4C"/>
    <w:rsid w:val="005C34D7"/>
    <w:rsid w:val="005C5CBE"/>
    <w:rsid w:val="005C6644"/>
    <w:rsid w:val="005C7E2C"/>
    <w:rsid w:val="005D087E"/>
    <w:rsid w:val="005D0B2B"/>
    <w:rsid w:val="005D2BDE"/>
    <w:rsid w:val="005D3B79"/>
    <w:rsid w:val="005D513B"/>
    <w:rsid w:val="005D63BA"/>
    <w:rsid w:val="005E3526"/>
    <w:rsid w:val="005E6860"/>
    <w:rsid w:val="005F032F"/>
    <w:rsid w:val="005F3C0E"/>
    <w:rsid w:val="005F7CEF"/>
    <w:rsid w:val="00601DD3"/>
    <w:rsid w:val="00603F50"/>
    <w:rsid w:val="006041AF"/>
    <w:rsid w:val="00604389"/>
    <w:rsid w:val="0061083B"/>
    <w:rsid w:val="00612C4C"/>
    <w:rsid w:val="00617829"/>
    <w:rsid w:val="0062455F"/>
    <w:rsid w:val="00624F73"/>
    <w:rsid w:val="0062511C"/>
    <w:rsid w:val="00626FBF"/>
    <w:rsid w:val="0063146F"/>
    <w:rsid w:val="0063506E"/>
    <w:rsid w:val="006372FD"/>
    <w:rsid w:val="00643A5E"/>
    <w:rsid w:val="006440E2"/>
    <w:rsid w:val="00644C87"/>
    <w:rsid w:val="00646368"/>
    <w:rsid w:val="006510BA"/>
    <w:rsid w:val="006541FD"/>
    <w:rsid w:val="00655356"/>
    <w:rsid w:val="00660CAE"/>
    <w:rsid w:val="00670A3D"/>
    <w:rsid w:val="006719B9"/>
    <w:rsid w:val="00677F6A"/>
    <w:rsid w:val="00680749"/>
    <w:rsid w:val="00684785"/>
    <w:rsid w:val="00686F22"/>
    <w:rsid w:val="00687385"/>
    <w:rsid w:val="006901EE"/>
    <w:rsid w:val="00691CF6"/>
    <w:rsid w:val="0069232A"/>
    <w:rsid w:val="0069590D"/>
    <w:rsid w:val="006A2CF9"/>
    <w:rsid w:val="006B0A8F"/>
    <w:rsid w:val="006B4FBE"/>
    <w:rsid w:val="006B6441"/>
    <w:rsid w:val="006B64EF"/>
    <w:rsid w:val="006B6FF7"/>
    <w:rsid w:val="006C2C25"/>
    <w:rsid w:val="006C3C3E"/>
    <w:rsid w:val="006C5AEE"/>
    <w:rsid w:val="006C774D"/>
    <w:rsid w:val="006D054F"/>
    <w:rsid w:val="006D1310"/>
    <w:rsid w:val="006D35CC"/>
    <w:rsid w:val="006D5D12"/>
    <w:rsid w:val="006D686D"/>
    <w:rsid w:val="006E1DB5"/>
    <w:rsid w:val="006E2010"/>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3CE3"/>
    <w:rsid w:val="0071585C"/>
    <w:rsid w:val="0072151E"/>
    <w:rsid w:val="00737710"/>
    <w:rsid w:val="00742FE6"/>
    <w:rsid w:val="0074565D"/>
    <w:rsid w:val="0075028F"/>
    <w:rsid w:val="00751B19"/>
    <w:rsid w:val="007548F3"/>
    <w:rsid w:val="00763C0A"/>
    <w:rsid w:val="00766E27"/>
    <w:rsid w:val="00770CD5"/>
    <w:rsid w:val="00770D51"/>
    <w:rsid w:val="00771D7A"/>
    <w:rsid w:val="007727D9"/>
    <w:rsid w:val="00777BCD"/>
    <w:rsid w:val="00782A29"/>
    <w:rsid w:val="00784997"/>
    <w:rsid w:val="00784E2D"/>
    <w:rsid w:val="0078648E"/>
    <w:rsid w:val="00791FB2"/>
    <w:rsid w:val="007925C3"/>
    <w:rsid w:val="00796297"/>
    <w:rsid w:val="007A059C"/>
    <w:rsid w:val="007A0E5F"/>
    <w:rsid w:val="007A253D"/>
    <w:rsid w:val="007A53BF"/>
    <w:rsid w:val="007A59ED"/>
    <w:rsid w:val="007A5E1E"/>
    <w:rsid w:val="007A6C56"/>
    <w:rsid w:val="007A740A"/>
    <w:rsid w:val="007A77B9"/>
    <w:rsid w:val="007B2A08"/>
    <w:rsid w:val="007B3C87"/>
    <w:rsid w:val="007B5181"/>
    <w:rsid w:val="007B51EE"/>
    <w:rsid w:val="007B610E"/>
    <w:rsid w:val="007B6179"/>
    <w:rsid w:val="007B624F"/>
    <w:rsid w:val="007C08DB"/>
    <w:rsid w:val="007C39CC"/>
    <w:rsid w:val="007C61C1"/>
    <w:rsid w:val="007C6F5F"/>
    <w:rsid w:val="007D04E0"/>
    <w:rsid w:val="007D7834"/>
    <w:rsid w:val="007E2056"/>
    <w:rsid w:val="007E3118"/>
    <w:rsid w:val="007E40BD"/>
    <w:rsid w:val="007E5264"/>
    <w:rsid w:val="007F0460"/>
    <w:rsid w:val="007F1B2D"/>
    <w:rsid w:val="007F2CE1"/>
    <w:rsid w:val="007F331D"/>
    <w:rsid w:val="007F38EF"/>
    <w:rsid w:val="007F6B23"/>
    <w:rsid w:val="00804A4A"/>
    <w:rsid w:val="0080702E"/>
    <w:rsid w:val="00807582"/>
    <w:rsid w:val="00810CCF"/>
    <w:rsid w:val="00817E19"/>
    <w:rsid w:val="008257F8"/>
    <w:rsid w:val="00826E64"/>
    <w:rsid w:val="00843A73"/>
    <w:rsid w:val="0084480E"/>
    <w:rsid w:val="00852DC1"/>
    <w:rsid w:val="0085317E"/>
    <w:rsid w:val="008567AF"/>
    <w:rsid w:val="0085693A"/>
    <w:rsid w:val="00856EF7"/>
    <w:rsid w:val="00863F19"/>
    <w:rsid w:val="00864F6E"/>
    <w:rsid w:val="0086603D"/>
    <w:rsid w:val="00866B4E"/>
    <w:rsid w:val="00871E08"/>
    <w:rsid w:val="0087317B"/>
    <w:rsid w:val="008761C3"/>
    <w:rsid w:val="00877965"/>
    <w:rsid w:val="00882702"/>
    <w:rsid w:val="0089387A"/>
    <w:rsid w:val="008A0195"/>
    <w:rsid w:val="008A1279"/>
    <w:rsid w:val="008A2FC6"/>
    <w:rsid w:val="008A36FE"/>
    <w:rsid w:val="008B397C"/>
    <w:rsid w:val="008B5D0A"/>
    <w:rsid w:val="008B7FDA"/>
    <w:rsid w:val="008C0381"/>
    <w:rsid w:val="008C1BBB"/>
    <w:rsid w:val="008C50C1"/>
    <w:rsid w:val="008C7554"/>
    <w:rsid w:val="008C7DF7"/>
    <w:rsid w:val="008E2A64"/>
    <w:rsid w:val="008E2A8D"/>
    <w:rsid w:val="008E2F8B"/>
    <w:rsid w:val="008E4F04"/>
    <w:rsid w:val="008F06EA"/>
    <w:rsid w:val="009020CB"/>
    <w:rsid w:val="00904166"/>
    <w:rsid w:val="009132EF"/>
    <w:rsid w:val="00913957"/>
    <w:rsid w:val="00914BEA"/>
    <w:rsid w:val="00916E0C"/>
    <w:rsid w:val="00923735"/>
    <w:rsid w:val="00924880"/>
    <w:rsid w:val="00930713"/>
    <w:rsid w:val="00931152"/>
    <w:rsid w:val="009317C8"/>
    <w:rsid w:val="00934B3D"/>
    <w:rsid w:val="00934F3C"/>
    <w:rsid w:val="00935E6C"/>
    <w:rsid w:val="00937643"/>
    <w:rsid w:val="00941419"/>
    <w:rsid w:val="00943EB9"/>
    <w:rsid w:val="00944A6E"/>
    <w:rsid w:val="00946587"/>
    <w:rsid w:val="00954D9B"/>
    <w:rsid w:val="0095658B"/>
    <w:rsid w:val="00960D85"/>
    <w:rsid w:val="00961781"/>
    <w:rsid w:val="00964EC2"/>
    <w:rsid w:val="00967454"/>
    <w:rsid w:val="00975844"/>
    <w:rsid w:val="00977B82"/>
    <w:rsid w:val="00982544"/>
    <w:rsid w:val="00983564"/>
    <w:rsid w:val="00984C35"/>
    <w:rsid w:val="00994229"/>
    <w:rsid w:val="00996EBF"/>
    <w:rsid w:val="00997EB3"/>
    <w:rsid w:val="009A167C"/>
    <w:rsid w:val="009B2E66"/>
    <w:rsid w:val="009B43E9"/>
    <w:rsid w:val="009B4842"/>
    <w:rsid w:val="009B6D76"/>
    <w:rsid w:val="009C26A2"/>
    <w:rsid w:val="009C2853"/>
    <w:rsid w:val="009C51F1"/>
    <w:rsid w:val="009C707E"/>
    <w:rsid w:val="009D651C"/>
    <w:rsid w:val="009D7E2C"/>
    <w:rsid w:val="009E13E8"/>
    <w:rsid w:val="009E456F"/>
    <w:rsid w:val="009E781F"/>
    <w:rsid w:val="009F0BCF"/>
    <w:rsid w:val="009F3E78"/>
    <w:rsid w:val="009F6BAC"/>
    <w:rsid w:val="009F753C"/>
    <w:rsid w:val="009F76A8"/>
    <w:rsid w:val="00A01D3F"/>
    <w:rsid w:val="00A045B2"/>
    <w:rsid w:val="00A06ABE"/>
    <w:rsid w:val="00A07368"/>
    <w:rsid w:val="00A139D0"/>
    <w:rsid w:val="00A13E96"/>
    <w:rsid w:val="00A17945"/>
    <w:rsid w:val="00A20A84"/>
    <w:rsid w:val="00A23C17"/>
    <w:rsid w:val="00A23E0A"/>
    <w:rsid w:val="00A245B3"/>
    <w:rsid w:val="00A24DBA"/>
    <w:rsid w:val="00A31A85"/>
    <w:rsid w:val="00A3410E"/>
    <w:rsid w:val="00A362D7"/>
    <w:rsid w:val="00A36AF1"/>
    <w:rsid w:val="00A37759"/>
    <w:rsid w:val="00A54B88"/>
    <w:rsid w:val="00A573E7"/>
    <w:rsid w:val="00A63946"/>
    <w:rsid w:val="00A66DDA"/>
    <w:rsid w:val="00A70224"/>
    <w:rsid w:val="00A73078"/>
    <w:rsid w:val="00A74A04"/>
    <w:rsid w:val="00A76165"/>
    <w:rsid w:val="00A7695F"/>
    <w:rsid w:val="00A774A3"/>
    <w:rsid w:val="00A824DF"/>
    <w:rsid w:val="00A91686"/>
    <w:rsid w:val="00A92EAF"/>
    <w:rsid w:val="00AA07FA"/>
    <w:rsid w:val="00AA1DB4"/>
    <w:rsid w:val="00AA2441"/>
    <w:rsid w:val="00AA3611"/>
    <w:rsid w:val="00AA624A"/>
    <w:rsid w:val="00AB03BB"/>
    <w:rsid w:val="00AB28A7"/>
    <w:rsid w:val="00AB4322"/>
    <w:rsid w:val="00AB553C"/>
    <w:rsid w:val="00AB7EE1"/>
    <w:rsid w:val="00AC10D0"/>
    <w:rsid w:val="00AC665D"/>
    <w:rsid w:val="00AD27F3"/>
    <w:rsid w:val="00AD2EE4"/>
    <w:rsid w:val="00AD4DC7"/>
    <w:rsid w:val="00AE1014"/>
    <w:rsid w:val="00AF1916"/>
    <w:rsid w:val="00AF467C"/>
    <w:rsid w:val="00B05C23"/>
    <w:rsid w:val="00B10B88"/>
    <w:rsid w:val="00B1118A"/>
    <w:rsid w:val="00B12E6D"/>
    <w:rsid w:val="00B14574"/>
    <w:rsid w:val="00B176A2"/>
    <w:rsid w:val="00B22A82"/>
    <w:rsid w:val="00B23394"/>
    <w:rsid w:val="00B2347D"/>
    <w:rsid w:val="00B24DB3"/>
    <w:rsid w:val="00B27ADA"/>
    <w:rsid w:val="00B33272"/>
    <w:rsid w:val="00B33320"/>
    <w:rsid w:val="00B35147"/>
    <w:rsid w:val="00B45AFD"/>
    <w:rsid w:val="00B52F85"/>
    <w:rsid w:val="00B53D44"/>
    <w:rsid w:val="00B54B64"/>
    <w:rsid w:val="00B55C2A"/>
    <w:rsid w:val="00B55EDA"/>
    <w:rsid w:val="00B5684B"/>
    <w:rsid w:val="00B57250"/>
    <w:rsid w:val="00B607A6"/>
    <w:rsid w:val="00B60F3D"/>
    <w:rsid w:val="00B638CA"/>
    <w:rsid w:val="00B63C50"/>
    <w:rsid w:val="00B64072"/>
    <w:rsid w:val="00B657D1"/>
    <w:rsid w:val="00B71017"/>
    <w:rsid w:val="00B73E64"/>
    <w:rsid w:val="00B744A2"/>
    <w:rsid w:val="00B77729"/>
    <w:rsid w:val="00B77E02"/>
    <w:rsid w:val="00B81097"/>
    <w:rsid w:val="00B824CC"/>
    <w:rsid w:val="00B900B2"/>
    <w:rsid w:val="00B92DF6"/>
    <w:rsid w:val="00BA1D71"/>
    <w:rsid w:val="00BA58D4"/>
    <w:rsid w:val="00BB20BD"/>
    <w:rsid w:val="00BB4DA5"/>
    <w:rsid w:val="00BC4667"/>
    <w:rsid w:val="00BD0231"/>
    <w:rsid w:val="00BD08DB"/>
    <w:rsid w:val="00BD4F61"/>
    <w:rsid w:val="00BE2C1E"/>
    <w:rsid w:val="00BE30D1"/>
    <w:rsid w:val="00BE6397"/>
    <w:rsid w:val="00BF0BEF"/>
    <w:rsid w:val="00BF2710"/>
    <w:rsid w:val="00BF3117"/>
    <w:rsid w:val="00BF7852"/>
    <w:rsid w:val="00C0783E"/>
    <w:rsid w:val="00C200FE"/>
    <w:rsid w:val="00C204DF"/>
    <w:rsid w:val="00C23CE5"/>
    <w:rsid w:val="00C23E83"/>
    <w:rsid w:val="00C243A0"/>
    <w:rsid w:val="00C24DC9"/>
    <w:rsid w:val="00C2549C"/>
    <w:rsid w:val="00C30069"/>
    <w:rsid w:val="00C30859"/>
    <w:rsid w:val="00C33200"/>
    <w:rsid w:val="00C34036"/>
    <w:rsid w:val="00C43C93"/>
    <w:rsid w:val="00C440EA"/>
    <w:rsid w:val="00C46DF9"/>
    <w:rsid w:val="00C47F4F"/>
    <w:rsid w:val="00C5625A"/>
    <w:rsid w:val="00C57879"/>
    <w:rsid w:val="00C612A1"/>
    <w:rsid w:val="00C651A6"/>
    <w:rsid w:val="00C6573A"/>
    <w:rsid w:val="00C66F94"/>
    <w:rsid w:val="00C708C7"/>
    <w:rsid w:val="00C73CBE"/>
    <w:rsid w:val="00C7421C"/>
    <w:rsid w:val="00C760A3"/>
    <w:rsid w:val="00C762A8"/>
    <w:rsid w:val="00C833CA"/>
    <w:rsid w:val="00C84A60"/>
    <w:rsid w:val="00C8672F"/>
    <w:rsid w:val="00C9045D"/>
    <w:rsid w:val="00C91B28"/>
    <w:rsid w:val="00C92524"/>
    <w:rsid w:val="00C969EE"/>
    <w:rsid w:val="00C9781D"/>
    <w:rsid w:val="00CA09A8"/>
    <w:rsid w:val="00CA272E"/>
    <w:rsid w:val="00CB00A9"/>
    <w:rsid w:val="00CB315E"/>
    <w:rsid w:val="00CB3AC7"/>
    <w:rsid w:val="00CB5A3A"/>
    <w:rsid w:val="00CB6187"/>
    <w:rsid w:val="00CB797E"/>
    <w:rsid w:val="00CB7C94"/>
    <w:rsid w:val="00CC0C4E"/>
    <w:rsid w:val="00CC1EFD"/>
    <w:rsid w:val="00CC1FCE"/>
    <w:rsid w:val="00CC545D"/>
    <w:rsid w:val="00CC698C"/>
    <w:rsid w:val="00CC6BA9"/>
    <w:rsid w:val="00CD479E"/>
    <w:rsid w:val="00CD49AB"/>
    <w:rsid w:val="00CE34EF"/>
    <w:rsid w:val="00CE6D42"/>
    <w:rsid w:val="00CE7574"/>
    <w:rsid w:val="00CE7CD2"/>
    <w:rsid w:val="00CF6325"/>
    <w:rsid w:val="00D00F73"/>
    <w:rsid w:val="00D01505"/>
    <w:rsid w:val="00D01EDC"/>
    <w:rsid w:val="00D04DD1"/>
    <w:rsid w:val="00D04F44"/>
    <w:rsid w:val="00D05ADD"/>
    <w:rsid w:val="00D0744F"/>
    <w:rsid w:val="00D117D3"/>
    <w:rsid w:val="00D1198B"/>
    <w:rsid w:val="00D15480"/>
    <w:rsid w:val="00D1690D"/>
    <w:rsid w:val="00D200B9"/>
    <w:rsid w:val="00D2092D"/>
    <w:rsid w:val="00D21205"/>
    <w:rsid w:val="00D30F43"/>
    <w:rsid w:val="00D34455"/>
    <w:rsid w:val="00D349F6"/>
    <w:rsid w:val="00D36F3E"/>
    <w:rsid w:val="00D41860"/>
    <w:rsid w:val="00D423FD"/>
    <w:rsid w:val="00D43F08"/>
    <w:rsid w:val="00D54525"/>
    <w:rsid w:val="00D54C9E"/>
    <w:rsid w:val="00D55112"/>
    <w:rsid w:val="00D556F8"/>
    <w:rsid w:val="00D557EB"/>
    <w:rsid w:val="00D5639E"/>
    <w:rsid w:val="00D6645B"/>
    <w:rsid w:val="00D7002F"/>
    <w:rsid w:val="00D72574"/>
    <w:rsid w:val="00D72B37"/>
    <w:rsid w:val="00D76EF4"/>
    <w:rsid w:val="00D77ADF"/>
    <w:rsid w:val="00D807C9"/>
    <w:rsid w:val="00D8104C"/>
    <w:rsid w:val="00D81FC9"/>
    <w:rsid w:val="00D85734"/>
    <w:rsid w:val="00D93AD2"/>
    <w:rsid w:val="00D947BE"/>
    <w:rsid w:val="00D94C1C"/>
    <w:rsid w:val="00D95017"/>
    <w:rsid w:val="00DA43F7"/>
    <w:rsid w:val="00DA66E9"/>
    <w:rsid w:val="00DA6788"/>
    <w:rsid w:val="00DB07A0"/>
    <w:rsid w:val="00DB1F63"/>
    <w:rsid w:val="00DB2A9B"/>
    <w:rsid w:val="00DB2DE2"/>
    <w:rsid w:val="00DB3049"/>
    <w:rsid w:val="00DB6C98"/>
    <w:rsid w:val="00DC0B17"/>
    <w:rsid w:val="00DC2690"/>
    <w:rsid w:val="00DC4BB4"/>
    <w:rsid w:val="00DD3C10"/>
    <w:rsid w:val="00DD4AE7"/>
    <w:rsid w:val="00DD50A4"/>
    <w:rsid w:val="00DD774C"/>
    <w:rsid w:val="00DE05FA"/>
    <w:rsid w:val="00DE18CE"/>
    <w:rsid w:val="00DE654F"/>
    <w:rsid w:val="00DE7107"/>
    <w:rsid w:val="00DF470C"/>
    <w:rsid w:val="00DF59E2"/>
    <w:rsid w:val="00DF6175"/>
    <w:rsid w:val="00DF6838"/>
    <w:rsid w:val="00DF736B"/>
    <w:rsid w:val="00E05279"/>
    <w:rsid w:val="00E05D8C"/>
    <w:rsid w:val="00E10DA4"/>
    <w:rsid w:val="00E11EF2"/>
    <w:rsid w:val="00E12560"/>
    <w:rsid w:val="00E135BA"/>
    <w:rsid w:val="00E15CB5"/>
    <w:rsid w:val="00E177E7"/>
    <w:rsid w:val="00E255BF"/>
    <w:rsid w:val="00E27F58"/>
    <w:rsid w:val="00E42CCA"/>
    <w:rsid w:val="00E51174"/>
    <w:rsid w:val="00E5122C"/>
    <w:rsid w:val="00E57813"/>
    <w:rsid w:val="00E607E5"/>
    <w:rsid w:val="00E638DB"/>
    <w:rsid w:val="00E677F4"/>
    <w:rsid w:val="00E67909"/>
    <w:rsid w:val="00E67EC3"/>
    <w:rsid w:val="00E73254"/>
    <w:rsid w:val="00E73DF5"/>
    <w:rsid w:val="00E75253"/>
    <w:rsid w:val="00E75790"/>
    <w:rsid w:val="00E824C6"/>
    <w:rsid w:val="00E83FB3"/>
    <w:rsid w:val="00E90A45"/>
    <w:rsid w:val="00E976C0"/>
    <w:rsid w:val="00EA7799"/>
    <w:rsid w:val="00EB0989"/>
    <w:rsid w:val="00EB1268"/>
    <w:rsid w:val="00EB1DF5"/>
    <w:rsid w:val="00EB28DA"/>
    <w:rsid w:val="00EB4801"/>
    <w:rsid w:val="00EB690C"/>
    <w:rsid w:val="00EB73F1"/>
    <w:rsid w:val="00EC0420"/>
    <w:rsid w:val="00EC0EA5"/>
    <w:rsid w:val="00EC1141"/>
    <w:rsid w:val="00EC1DF4"/>
    <w:rsid w:val="00ED3772"/>
    <w:rsid w:val="00EE2183"/>
    <w:rsid w:val="00EE554B"/>
    <w:rsid w:val="00EE7D04"/>
    <w:rsid w:val="00EF0348"/>
    <w:rsid w:val="00EF37BB"/>
    <w:rsid w:val="00EF779D"/>
    <w:rsid w:val="00F00055"/>
    <w:rsid w:val="00F0021D"/>
    <w:rsid w:val="00F00573"/>
    <w:rsid w:val="00F020B0"/>
    <w:rsid w:val="00F025C8"/>
    <w:rsid w:val="00F04939"/>
    <w:rsid w:val="00F04A5E"/>
    <w:rsid w:val="00F06457"/>
    <w:rsid w:val="00F07966"/>
    <w:rsid w:val="00F10503"/>
    <w:rsid w:val="00F15703"/>
    <w:rsid w:val="00F1582E"/>
    <w:rsid w:val="00F16609"/>
    <w:rsid w:val="00F2021F"/>
    <w:rsid w:val="00F211A8"/>
    <w:rsid w:val="00F2346C"/>
    <w:rsid w:val="00F30BF3"/>
    <w:rsid w:val="00F3114E"/>
    <w:rsid w:val="00F37F9B"/>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0A70"/>
    <w:rsid w:val="00F81504"/>
    <w:rsid w:val="00F8348D"/>
    <w:rsid w:val="00F8549A"/>
    <w:rsid w:val="00F90252"/>
    <w:rsid w:val="00F90290"/>
    <w:rsid w:val="00FA3E42"/>
    <w:rsid w:val="00FA54B0"/>
    <w:rsid w:val="00FB1747"/>
    <w:rsid w:val="00FB1923"/>
    <w:rsid w:val="00FB3D21"/>
    <w:rsid w:val="00FB51CC"/>
    <w:rsid w:val="00FB616E"/>
    <w:rsid w:val="00FB6B26"/>
    <w:rsid w:val="00FC2A24"/>
    <w:rsid w:val="00FC509D"/>
    <w:rsid w:val="00FC68EB"/>
    <w:rsid w:val="00FC6D47"/>
    <w:rsid w:val="00FD1693"/>
    <w:rsid w:val="00FD197C"/>
    <w:rsid w:val="00FD51C1"/>
    <w:rsid w:val="00FE10F0"/>
    <w:rsid w:val="00FE2047"/>
    <w:rsid w:val="00FE3C8B"/>
    <w:rsid w:val="00FE4396"/>
    <w:rsid w:val="00FE4ACC"/>
    <w:rsid w:val="00FE7590"/>
    <w:rsid w:val="00FF080B"/>
    <w:rsid w:val="00FF1106"/>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e.tce.sp.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oes@carapicuiba.sp.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retoria.habitacao@carapicuiba.sp.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mpras.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30D54-D5E3-4C8B-8955-7E0164B8A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43</Pages>
  <Words>12273</Words>
  <Characters>66275</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86</cp:revision>
  <cp:lastPrinted>2024-11-22T12:59:00Z</cp:lastPrinted>
  <dcterms:created xsi:type="dcterms:W3CDTF">2024-11-07T12:34:00Z</dcterms:created>
  <dcterms:modified xsi:type="dcterms:W3CDTF">2024-11-22T13:00:00Z</dcterms:modified>
</cp:coreProperties>
</file>